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>
  <w:body>
    <w:p>
      <w:pPr>
        <w:pStyle w:val="Heading1"/>
      </w:pPr>
      <w:r>
        <w:t>一、自我介绍</w:t>
      </w:r>
    </w:p>
    <w:p>
      <w:r>
        <w:t>各位评委老师好，我是彭硕，来自华中科技大学网络空间安全专业，目前在可疑与评级模型团队担任风控算法实习生。</w:t>
      </w:r>
    </w:p>
    <w:p>
      <w:r>
        <w:t>今天汇报的主题是“从模型可用到业务可信”。实习期间，我主要面向法院、公安传入的司法单据，完成文书清晰度、印章、文书类型和联系电话等有效性校验。不止步于追求提升离线准确率，我更追求如何让算法在真实业务中做到低误拦、可解释和可持续迭代。</w:t>
      </w:r>
    </w:p>
    <w:p>
      <w:r>
        <w:t>从去年 10 月到现在，我进行了近 11 个月连续的多模态算法实践，这三段经历形成了一条比较清晰的能力演进路径。</w:t>
      </w:r>
    </w:p>
    <w:p>
      <w:r>
        <w:t>第一阶段是在京东 AI 安全部，重点是多模态大模型后训练。我参与了 89 万条 SFT 数据构建、Qwen3-VL 全参数训练以及 GDPO 强化学习，主要解决“如何把模型训练出来”的问题。</w:t>
      </w:r>
    </w:p>
    <w:p>
      <w:r>
        <w:t>第二阶段是在京东零售AIGC团队，工作重心转向训练数据清洗、OCR 部署和生成模型评测，开始关注“如何构造可靠数据、如何评价模型”。</w:t>
      </w:r>
    </w:p>
    <w:p>
      <w:r>
        <w:t>第三阶段来到腾讯风控，进一步面对真实业务约束，工作从模型训练延伸到任务定义、决策路由和人审闭环，也就是“如何让模型真正成为稳定的业务能力”。</w:t>
      </w:r>
    </w:p>
    <w:p>
      <w:pPr>
        <w:pStyle w:val="Heading1"/>
      </w:pPr>
      <w:r>
        <w:t>二、主要工作总结</w:t>
      </w:r>
    </w:p>
    <w:p>
      <w:r>
        <w:t>法官执行文书（裁定书+通知书+2份工作证）提交银行冻结前，必须做有效性校验和一致性校验。整体处理链路如下</w:t>
      </w:r>
    </w:p>
    <w:p>
      <w:pPr>
        <w:jc w:val="both"/>
      </w:pPr>
      <w:r>
        <w:drawing>
          <wp:inline distT="0" distB="0" distL="0" distR="0">
            <wp:extent cx="5724525" cy="363855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在该业务场景中，在保证不误拦文书的前提下，尽可能的提高拦截率，是最大的挑战。</w:t>
      </w:r>
    </w:p>
    <w:p>
      <w:r>
        <w:t>我的工作聚焦于以下四个子任务：</w:t>
      </w:r>
    </w:p>
    <w:p>
      <w:r>
        <w:t>电话号码有效性校验、印章检测、文书类型检测、清晰度检测。</w:t>
      </w:r>
    </w:p>
    <w:p>
      <w:r>
        <w:t>在最新一批数万条数据集中，各个任务的精准和召回如下：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任务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精准率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召回率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电话号码校验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C5A4E"/>
              </w:rPr>
              <w:t>100%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-(未检验）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印章校验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C5A4E"/>
              </w:rPr>
              <w:t>100%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100%（抽样）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文书类型判断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C5A4E"/>
              </w:rPr>
              <w:t>100%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100%（抽样）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清晰度检测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FC5A4E"/>
              </w:rPr>
              <w:t>100%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-(未检验）</w:t>
            </w:r>
          </w:p>
        </w:tc>
      </w:tr>
    </w:tbl>
    <w:p>
      <w:r>
        <w:t>目前进度是离线模型开发完成 等待业务开发接入模型,预计线上拒单量如下。</w:t>
      </w:r>
    </w:p>
    <w:p>
      <w:pPr>
        <w:jc w:val="both"/>
      </w:pPr>
      <w:r>
        <w:drawing>
          <wp:inline distT="0" distB="0" distL="0" distR="0">
            <wp:extent cx="5724525" cy="40005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commentRangeStart w:id="0"/>
      <w:r>
        <w:t>具体任务详情：</w:t>
      </w:r>
      <w:commentRangeEnd w:id="0"/>
      <w:r>
        <w:rPr>
          <w:rStyle w:val="CommentReference"/>
        </w:rPr>
        <w:commentReference w:id="0"/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任务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目标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关键挑战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样例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电话号码校验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拒绝明显打不通号码，验证号码归属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1.输入没有约束，号码变种复杂繁多</w:t>
              <w:br/>
              <w:t>2.要保证拒绝号码100%正确</w:t>
              <w:br/>
              <w:t>3.判断标准不是电话号码能不能打通，而是”是不是看起来像号码？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rPr>
                <w:rFonts w:ascii="Consolas" w:hAnsi="Consolas"/>
                <w:shd w:val="clear" w:color="auto" w:fill="F3F4F6"/>
              </w:rPr>
              <w:t>3604764</w:t>
            </w:r>
            <w:r>
              <w:t>、</w:t>
            </w:r>
            <w:r>
              <w:rPr>
                <w:rFonts w:ascii="Consolas" w:hAnsi="Consolas"/>
                <w:shd w:val="clear" w:color="auto" w:fill="F3F4F6"/>
              </w:rPr>
              <w:t>83006499</w:t>
            </w:r>
            <w:r>
              <w:t>、</w:t>
            </w:r>
            <w:r>
              <w:rPr>
                <w:rFonts w:ascii="Consolas" w:hAnsi="Consolas"/>
                <w:shd w:val="clear" w:color="auto" w:fill="F3F4F6"/>
              </w:rPr>
              <w:t>2395104</w:t>
              <w:br/>
              <w:t>0591-38125997-10078</w:t>
            </w:r>
            <w:r>
              <w:t>→</w:t>
            </w:r>
            <w:r>
              <w:rPr>
                <w:rFonts w:ascii="Consolas" w:hAnsi="Consolas"/>
                <w:shd w:val="clear" w:color="auto" w:fill="F3F4F6"/>
              </w:rPr>
              <w:t>0591-38125997</w:t>
              <w:br/>
              <w:t>承办人座机号码(必填)、209734403722097344、（2025）黑0104民初27259号</w:t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印章校验</w:t>
              <w:br/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精准判断出无印章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1.许多印章极浅或者极小、印章被切分或者印章非红色</w:t>
              <w:br/>
              <w:t>2.许多文书多页，七八页拼接为长图、或者为几十页的pdf</w:t>
            </w:r>
          </w:p>
          <w:p>
            <w:r>
              <w:t>3.任务耗时严格要求，需在三秒内完成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76350" cy="1809750"/>
                  <wp:docPr id="3" name="Picture 3"/>
                  <a:graphic>
                    <a:graphicData uri="http://schemas.openxmlformats.org/drawingml/2006/picture">
                      <pic:pic>
                        <pic:nvPicPr>
                          <pic:cNvPr id="3" name="Picture 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文书类型判断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判断文书名称是否合法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1.文书有错别字、多字少字，但应宽容处理</w:t>
            </w:r>
          </w:p>
          <w:p>
            <w:r>
              <w:t>2.文书并排导致ocr结果不连续</w:t>
            </w:r>
          </w:p>
          <w:p>
            <w:r>
              <w:t>3.标题存在</w:t>
            </w:r>
            <w:r>
              <w:rPr>
                <w:strike/>
              </w:rPr>
              <w:t>删除线</w:t>
            </w:r>
            <w:r>
              <w:t>，ocr模型无法识别到</w:t>
            </w:r>
          </w:p>
          <w:p>
            <w:r>
              <w:t>4.存在旋转文书</w:t>
            </w:r>
          </w:p>
          <w:p>
            <w:r>
              <w:t>5.ocr模型识别某些字符准确率低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drawing>
                <wp:inline distT="0" distB="0" distL="0" distR="0">
                  <wp:extent cx="1276350" cy="847725"/>
                  <wp:docPr id="4" name="Picture 4"/>
                  <a:graphic>
                    <a:graphicData uri="http://schemas.openxmlformats.org/drawingml/2006/picture">
                      <pic:pic>
                        <pic:nvPicPr>
                          <pic:cNvPr id="4" name="Picture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清晰度检测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筛选出模糊文书</w:t>
            </w:r>
          </w:p>
        </w:tc>
        <w:tc>
          <w:tcPr>
            <w:tcW w:w="2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1.大量文书介于清晰模糊中间，尺度难以量化</w:t>
            </w:r>
          </w:p>
          <w:p>
            <w:r>
              <w:t>2.文书可能部分模糊，部分清晰,需细化颗粒度</w:t>
            </w:r>
          </w:p>
          <w:p>
            <w:r>
              <w:t>3.部分手写体人类清晰可鉴，模型却无法识别。</w:t>
            </w:r>
          </w:p>
        </w:tc>
        <w:tc>
          <w:tcPr>
            <w:tcW w:w="2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1276350" cy="1819275"/>
                  <wp:docPr id="5" name="Picture 5"/>
                  <a:graphic>
                    <a:graphicData uri="http://schemas.openxmlformats.org/drawingml/2006/picture">
                      <pic:pic>
                        <pic:nvPicPr>
                          <pic:cNvPr id="5" name="Picture 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t>三、具体实现路径</w:t>
      </w:r>
    </w:p>
    <w:p>
      <w:r>
        <w:t>该部分详细讲解上面提到的关键挑战，以及是如何解决的</w:t>
      </w:r>
    </w:p>
    <w:p>
      <w:pPr>
        <w:pStyle w:val="Heading2"/>
      </w:pPr>
      <w:r>
        <w:t>3.1 电话号码识别</w:t>
      </w:r>
    </w:p>
    <w:p>
      <w:pPr>
        <w:jc w:val="both"/>
      </w:pPr>
      <w:r>
        <w:drawing>
          <wp:inline distT="0" distB="0" distL="0" distR="0">
            <wp:extent cx="5724525" cy="3219450"/>
            <wp:docPr id="6" name="Picture 6"/>
            <a:graphic>
              <a:graphicData uri="http://schemas.openxmlformats.org/drawingml/2006/picture">
                <pic:pic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 印章识别</w:t>
      </w:r>
    </w:p>
    <w:p>
      <w:pPr>
        <w:jc w:val="both"/>
      </w:pPr>
      <w:r>
        <w:drawing>
          <wp:inline distT="0" distB="0" distL="0" distR="0">
            <wp:extent cx="5724525" cy="3257550"/>
            <wp:docPr id="7" name="Picture 7"/>
            <a:graphic>
              <a:graphicData uri="http://schemas.openxmlformats.org/drawingml/2006/picture">
                <pic:pic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3.3 文书类型识别</w:t>
      </w:r>
    </w:p>
    <w:p>
      <w:pPr>
        <w:jc w:val="both"/>
      </w:pPr>
      <w:r>
        <w:drawing>
          <wp:inline distT="0" distB="0" distL="0" distR="0">
            <wp:extent cx="5724525" cy="3219450"/>
            <wp:docPr id="8" name="Picture 8"/>
            <a:graphic>
              <a:graphicData uri="http://schemas.openxmlformats.org/drawingml/2006/picture">
                <pic:pic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3.4 清晰度检测</w:t>
      </w:r>
    </w:p>
    <w:p>
      <w:commentRangeStart w:id="1"/>
      <w:r>
        <w:t>该部分是整个工作的重心，将详细讲述，原因如下：</w:t>
      </w:r>
      <w:commentRangeEnd w:id="1"/>
      <w:r>
        <w:rPr>
          <w:rStyle w:val="CommentReference"/>
        </w:rPr>
        <w:commentReference w:id="1"/>
      </w:r>
    </w:p>
    <w:p>
      <w:r>
        <w:t>1、整个数据漏斗中，因为模糊而需要拒单的样本最多，占比</w:t>
      </w:r>
      <w:r>
        <w:rPr>
          <w:b/>
          <w:color w:val="FC5A4E"/>
        </w:rPr>
        <w:t>4.3%</w:t>
      </w:r>
      <w:r>
        <w:t>，左右对提高据单率贡献最大、ROI最高</w:t>
      </w:r>
    </w:p>
    <w:p>
      <w:r>
        <w:t>2、实践中发现印章和文书类型识别时出现的疑难样本，有约</w:t>
      </w:r>
      <w:r>
        <w:rPr>
          <w:b/>
          <w:color w:val="FC5A4E"/>
        </w:rPr>
        <w:t>37%</w:t>
      </w:r>
      <w:r>
        <w:t>是因为文书模糊而难以识别，因此如果前置模糊检测模型能够精准地检出，将大大减轻后续负担。</w:t>
      </w:r>
    </w:p>
    <w:p>
      <w:pPr>
        <w:pStyle w:val="Heading3"/>
      </w:pPr>
      <w:r>
        <w:t>3.4.1 现状分析</w:t>
      </w:r>
    </w:p>
    <w:p>
      <w:r>
        <w:t>现有日均</w:t>
      </w:r>
      <w:r>
        <w:rPr>
          <w:b/>
          <w:color w:val="FC5A4E"/>
        </w:rPr>
        <w:t>38.8</w:t>
      </w:r>
      <w:r>
        <w:t>万张法律文书图片，其中存在大量</w:t>
      </w:r>
      <w:r>
        <w:rPr>
          <w:b/>
          <w:color w:val="6D7176"/>
        </w:rPr>
        <w:t>扫描不清、拍照虚焦、公章/水印遮挡、部分字过小导致字符不可辨</w:t>
      </w:r>
      <w:r>
        <w:t>的文书，无法完成后续的OCR、一致性校验，应当拒单。</w:t>
      </w:r>
    </w:p>
    <w:p>
      <w:r>
        <w:t>此前已经有xgboost模型（569维特征：57维图像+OCR特征+512维CLIP）在少量标注+数据增强后的数据集上进行二分类任务，大概模糊率</w:t>
      </w:r>
      <w:r>
        <w:rPr>
          <w:b/>
          <w:color w:val="FC5A4E"/>
        </w:rPr>
        <w:t>14%</w:t>
      </w:r>
      <w:r>
        <w:t>，人工抽检的标注准确率约</w:t>
      </w:r>
      <w:r>
        <w:rPr>
          <w:b/>
          <w:color w:val="FC5A4E"/>
        </w:rPr>
        <w:t>90%</w:t>
      </w:r>
      <w:r>
        <w:t>。</w:t>
      </w:r>
    </w:p>
    <w:p>
      <w:r>
        <w:t>该方案最大的问题是清晰和模糊的边界难以界定，真实场景下模糊和清晰不是非黑即白的，中间存在大量灰色地带。比如初期与安管就一些case进行了对齐：</w:t>
      </w:r>
    </w:p>
    <w:tbl>
      <w:tblPr>
        <w:tblW w:w="902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</w:tcPr>
          <w:p/>
        </w:tc>
        <w:tc>
          <w:tcPr>
            <w:tcW w:w="3008" w:type="dxa"/>
          </w:tcPr>
          <w:p/>
        </w:tc>
        <w:tc>
          <w:tcPr>
            <w:tcW w:w="3010" w:type="dxa"/>
          </w:tcPr>
          <w:p/>
        </w:tc>
      </w:tr>
    </w:tbl>
    <w:p/>
    <w:tbl>
      <w:tblPr>
        <w:tblW w:w="9026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56"/>
        <w:gridCol w:w="2256"/>
        <w:gridCol w:w="2256"/>
        <w:gridCol w:w="2258"/>
      </w:tblGrid>
      <w:tr>
        <w:tc>
          <w:tcPr>
            <w:tcW w:w="2256" w:type="dxa"/>
          </w:tcPr>
          <w:p>
            <w:pPr>
              <w:jc w:val="center"/>
            </w:pPr>
            <w:r>
              <w:drawing>
                <wp:inline distT="0" distB="0" distL="0" distR="0">
                  <wp:extent cx="1200150" cy="1704975"/>
                  <wp:docPr id="9" name="Picture 9"/>
                  <a:graphic>
                    <a:graphicData uri="http://schemas.openxmlformats.org/drawingml/2006/picture">
                      <pic:pic>
                        <pic:nvPicPr>
                          <pic:cNvPr id="9" name="Picture 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2256" w:type="dxa"/>
          </w:tcPr>
          <w:p>
            <w:pPr>
              <w:jc w:val="center"/>
            </w:pPr>
            <w:r>
              <w:drawing>
                <wp:inline distT="0" distB="0" distL="0" distR="0">
                  <wp:extent cx="1200150" cy="1657350"/>
                  <wp:docPr id="10" name="Picture 10"/>
                  <a:graphic>
                    <a:graphicData uri="http://schemas.openxmlformats.org/drawingml/2006/picture">
                      <pic:pic>
                        <pic:nvPicPr>
                          <pic:cNvPr id="10" name="Picture 1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6" w:type="dxa"/>
          </w:tcPr>
          <w:p>
            <w:pPr>
              <w:jc w:val="both"/>
            </w:pPr>
            <w:r>
              <w:drawing>
                <wp:inline distT="0" distB="0" distL="0" distR="0">
                  <wp:extent cx="1200150" cy="1590675"/>
                  <wp:docPr id="11" name="Picture 11"/>
                  <a:graphic>
                    <a:graphicData uri="http://schemas.openxmlformats.org/drawingml/2006/picture">
                      <pic:pic>
                        <pic:nvPicPr>
                          <pic:cNvPr id="11" name="Picture 1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</w:tcPr>
          <w:p/>
        </w:tc>
      </w:tr>
    </w:tbl>
    <w:p>
      <w:commentRangeStart w:id="2"/>
      <w:r>
        <w:t>三个相似的文书分别被分为了模糊、清晰、模糊</w:t>
      </w:r>
      <w:commentRangeEnd w:id="2"/>
      <w:r>
        <w:rPr>
          <w:rStyle w:val="CommentReference"/>
        </w:rPr>
        <w:commentReference w:id="2"/>
      </w:r>
    </w:p>
    <w:p>
      <w:r>
        <w:t xml:space="preserve"> 因此，并没有一个很明确，界定清晰的标准来定义清晰和模糊，人的主观感受影响非常大，并且会根据脑中的先验知识辅助识别，此外一些干扰项比如水印、纹路、反光等会对模型识别产生干扰，人会天然剔除掉这些。因此这样直接标注出来的数据质量必然不高，训练出可用的模型更是无稽之谈。在这些case上，xgboost模型结果和安管规则差异非常大，准确率只有</w:t>
      </w:r>
      <w:r>
        <w:rPr>
          <w:b/>
          <w:color w:val="FC5A4E"/>
        </w:rPr>
        <w:t>23%</w:t>
      </w:r>
      <w:r>
        <w:t>。因此，应该把二分类变成多分类问题，多分类有如下好处：</w:t>
      </w:r>
    </w:p>
    <w:p>
      <w:pPr>
        <w:numPr>
          <w:ilvl w:val="0"/>
          <w:numId w:val="100"/>
        </w:numPr>
      </w:pPr>
      <w:r>
        <w:t>在模糊和清晰外加入较模糊、较清晰，符合真实数据分布，标注结果更鲁棒。</w:t>
      </w:r>
    </w:p>
    <w:p>
      <w:pPr>
        <w:numPr>
          <w:ilvl w:val="0"/>
          <w:numId w:val="100"/>
        </w:numPr>
      </w:pPr>
      <w:r>
        <w:t>可以不只按照拒单和不拒单进行处理，不拒单但也不进行后续有效性验证也是一种处理方式</w:t>
      </w:r>
    </w:p>
    <w:p>
      <w:pPr>
        <w:numPr>
          <w:ilvl w:val="0"/>
          <w:numId w:val="100"/>
        </w:numPr>
      </w:pPr>
      <w:r>
        <w:t>随着模型准确度提升，以及业务规则变化，可以自由选择是否拒单中度模糊或者轻度模糊的</w:t>
      </w:r>
    </w:p>
    <w:p/>
    <w:p>
      <w:pPr>
        <w:pStyle w:val="Heading3"/>
      </w:pPr>
      <w:r>
        <w:t>3.4.2 所做尝试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方案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结果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失败原因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Xgboost打分直接五分类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难以制定标准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XGBoost输出的是0-100的blur_score，极度双峰分布（清晰集中在0.05-1，模糊集中在90-99），中间区间数据极少，难以直接切分5档阈值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1752600" cy="1552575"/>
                  <wp:docPr id="12" name="Picture 12"/>
                  <a:graphic>
                    <a:graphicData uri="http://schemas.openxmlformats.org/drawingml/2006/picture">
                      <pic:pic>
                        <pic:nvPicPr>
                          <pic:cNvPr id="12" name="Picture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CLIP零样本分类（不微调）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64.5%准确率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CLIP训练目标是图文语义匹配，不是图像质量评估，模糊和清晰的cosine相似度差异仅0.006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CLIP特征+线性分类头(用xgboost标注的5000条数据训练)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98.36%（vs XGB标签）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高分只是拟合了XGB弱监督标签。在82条分歧case上只有29.7%正确率，远低于XGB的70.3%。纯CLIP特征缺少OCR质量信息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VLM(Qwen3-VL-235B)直接评分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26%准确率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VLM能读出文字内容就判为清晰，从不给出4或5分。倾向给高分，无法做绝对评分</w:t>
            </w:r>
          </w:p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VLM两两对比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能分辨出差异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能识别相对清晰度，但不适合单独绝对评分，且大规模两两对比成本太高</w:t>
            </w:r>
          </w:p>
          <w:p/>
        </w:tc>
      </w:tr>
    </w:tbl>
    <w:p>
      <w:r>
        <w:t>清晰模糊分类，xgboost方案仍是最优，但由于其训练目标和训练数据质量不高，即使用等频、Platt 或 Isotonic 校准，也无法凭空补出等级2～4的信息，无法切分。</w:t>
      </w:r>
    </w:p>
    <w:p>
      <w:r>
        <w:t>现有模型显然不能满足要求，需要进一步文献调研。在调研了一批文献后发现，评估文档质量时最重要的参考就是OCR置信度，OCR置信度可以由模型或者人工标注给出，当前条件用模型成本更低。因此尝试对1000条数据做ocr，并得到置信度。</w:t>
      </w:r>
    </w:p>
    <w:p>
      <w:r>
        <w:t>通过去置信度分数分析，得到一套新的分类标准。</w:t>
      </w:r>
    </w:p>
    <w:p>
      <w:pPr>
        <w:pStyle w:val="Heading3"/>
      </w:pPr>
      <w:r>
        <w:t>3.4.3  标准重定义</w:t>
      </w:r>
    </w:p>
    <w:p>
      <w:pPr>
        <w:jc w:val="center"/>
      </w:pPr>
      <w:r>
        <w:drawing>
          <wp:inline distT="0" distB="0" distL="0" distR="0">
            <wp:extent cx="5457825" cy="7677150"/>
            <wp:docPr id="13" name="Picture 13"/>
            <a:graphic>
              <a:graphicData uri="http://schemas.openxmlformats.org/drawingml/2006/picture">
                <pic:pic>
                  <pic:nvPicPr>
                    <pic:cNvPr id="13" name="Picture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commentRangeStart w:id="3"/>
      <w:r>
        <w:t>在当前任务下，由于识别模糊清晰也是为了后续的OCR模型做文字识别，因此模糊率≈OCR识别准确率低的比例。问题转换为如何定义OCR识别准确率，并附加条件去进行约束，比如去除误捡漏检。</w:t>
      </w:r>
      <w:commentRangeEnd w:id="3"/>
      <w:r>
        <w:rPr>
          <w:rStyle w:val="CommentReference"/>
        </w:rPr>
        <w:commentReference w:id="3"/>
      </w:r>
    </w:p>
    <w:p>
      <w:r>
        <w:t>综上所述，人工更易判别，技术更易落地的</w:t>
      </w:r>
      <w:r>
        <w:rPr>
          <w:b/>
        </w:rPr>
        <w:t>任务定义</w:t>
      </w:r>
      <w:r>
        <w:t>是：</w:t>
      </w:r>
    </w:p>
    <w:p>
      <w:r>
        <w:rPr>
          <w:b/>
        </w:rPr>
        <w:t>可辨识度 = 文字不可辨认比例+可辨文字的清晰程度</w:t>
      </w:r>
    </w:p>
    <w:p>
      <w:r>
        <w:t>也就是一个两阶段、两维度的序数任务，而非单一模糊分数。</w:t>
      </w:r>
    </w:p>
    <w:p>
      <w:r>
        <w:t>改为可操作标准：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等级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分类依据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等级1 — 完全清晰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文字笔画边缘清楚锐利，所有内容轻松可读，无任何模糊感。</w:t>
            </w:r>
          </w:p>
          <w:p/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 等级2 —轻微模糊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字迹可辨认，但笔画边缘发虚/粘连/有轻微模糊感，不影响阅读内容。</w:t>
            </w:r>
          </w:p>
          <w:p/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等级3 — 局部模糊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部分文字（10%-50%）看不清或难以辨认，其余部分清晰，不影响理解主要内容。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等级4 — 大部分模糊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超过一半的文字（50%-90%）无法辨认，只能看清少量内容。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  <w:tr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等级5 — 完全无法辨认</w:t>
            </w:r>
          </w:p>
        </w:tc>
        <w:tc>
          <w:tcPr>
            <w:tcW w:w="30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90%以上文字不可辨认，几乎或完全无法阅读。</w:t>
            </w:r>
          </w:p>
          <w:p/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/>
        </w:tc>
      </w:tr>
    </w:tbl>
    <w:p>
      <w:r>
        <w:t>  此外对于一些边界情况单独判别</w:t>
      </w:r>
    </w:p>
    <w:p>
      <w:r>
        <w:t>     图片特殊情况（如空白页、严重遮挡、非文书图片等）。</w:t>
      </w:r>
    </w:p>
    <w:p>
      <w:pPr>
        <w:numPr>
          <w:ilvl w:val="0"/>
          <w:numId w:val="2"/>
        </w:numPr>
      </w:pPr>
      <w:r>
        <w:t>印章/签名/手写部分的模糊不计入等级判断，只看正文印刷文字</w:t>
      </w:r>
    </w:p>
    <w:p>
      <w:pPr>
        <w:numPr>
          <w:ilvl w:val="0"/>
          <w:numId w:val="2"/>
        </w:numPr>
      </w:pPr>
      <w:r>
        <w:t>表格线、边框线断裂不算模糊</w:t>
      </w:r>
    </w:p>
    <w:p>
      <w:pPr>
        <w:numPr>
          <w:ilvl w:val="0"/>
          <w:numId w:val="2"/>
        </w:numPr>
      </w:pPr>
      <w:r>
        <w:t>按正文文字的可辨认程度来判断，不是按整体图片美观度</w:t>
      </w:r>
    </w:p>
    <w:p>
      <w:pPr>
        <w:numPr>
          <w:ilvl w:val="0"/>
          <w:numId w:val="2"/>
        </w:numPr>
      </w:pPr>
      <w:r>
        <w:t>“可以根据上下文猜出来，但笔画看不清”应算不可辨认。</w:t>
      </w:r>
    </w:p>
    <w:p>
      <w:pPr>
        <w:pStyle w:val="Heading3"/>
      </w:pPr>
      <w:r>
        <w:t>3.4.4 模型训练</w:t>
      </w:r>
    </w:p>
    <w:p>
      <w:pPr>
        <w:pStyle w:val="Heading4"/>
      </w:pPr>
      <w:commentRangeStart w:id="4"/>
      <w:r>
        <w:t>3.4.4.1 模型选择</w:t>
      </w:r>
      <w:commentRangeEnd w:id="4"/>
      <w:r>
        <w:rPr>
          <w:rStyle w:val="CommentReference"/>
        </w:rPr>
        <w:commentReference w:id="4"/>
      </w:r>
    </w:p>
    <w:p>
      <w:r>
        <w:t xml:space="preserve">     本任务采用OCR置信度、图像锐度及规则阈值构建五级清晰度判断链路给出预标签。规则方案具备较强可解释性，能够支持初始标签生成和高置信样本筛选。但规则生成的是伪标签，仍然存在OCR低置信不等于视觉模糊的问题,其结果依赖OCR检测完整性和人工阈值。当模糊文字被OCR直接漏检，或低置信度由印章、手写体、生僻字和复杂版面引起时，规则容易产生偏差；</w:t>
      </w:r>
    </w:p>
    <w:p>
      <w:r>
        <w:t xml:space="preserve">    传统分类器能够学习规则特征之间的非线性关系，但通常将整页图像压缩为单一全局特征，容易忽略局部文字模糊，并且输出能力被限制在预定义类别。若后续需要判断模糊区域、受影响字段、退化类型及处理建议，则需要额外训练多个检测和分类模型。</w:t>
      </w:r>
    </w:p>
    <w:p>
      <w:r>
        <w:t xml:space="preserve">    因此，本方案选择具备高分辨率视觉编码、OCR及文档理解预训练能力的VLM作为核心模型。模型能够复用文字区域、字符结构、页面布局和图文对应关系等预训练知识，当前人工标注成本较高，VLM已经具备文档理解能力，适合在少量标注下的迁移学习，能够通过LoRA低成本完成五级质量标准适配。同时，VLM可以理解各个等级的内在联系，而不是像分类器一样硬规则。</w:t>
      </w:r>
    </w:p>
    <w:p>
      <w:r>
        <w:t xml:space="preserve">    具体模型上采用Qwen3.5-9B,该模型使用更新的视觉—语言联合预训练架构，不是后接一个临时视觉模块，而是以统一多模态模型形式训练，原生支持图像输入。并且有更强的OCR和文档能力，更适合中文法律文书、小字和复杂版面。在多个ocr benchmark上超越GPT-5-Nano-2025-08-07、Gemini-2.5-Flash-Lite、Qwen3-VL-30B-A3B等模型。</w:t>
      </w:r>
    </w:p>
    <w:p>
      <w:pPr>
        <w:pStyle w:val="Heading4"/>
      </w:pPr>
      <w:r>
        <w:t>3.4.4.1 数据构建</w:t>
      </w:r>
    </w:p>
    <w:p>
      <w:r>
        <w:t>因为只有一个标注人员，资源有限，整体采用规则预先打标+ 人工复核打标的方式进行数据构建。</w:t>
      </w:r>
    </w:p>
    <w:p>
      <w:r>
        <w:rPr>
          <w:b/>
        </w:rPr>
        <w:t>规则预标注</w:t>
      </w:r>
    </w:p>
    <w:p>
      <w:r>
        <w:t>经过多次调整阈值，得到如下详细规则</w:t>
      </w:r>
    </w:p>
    <w:p>
      <w:pPr>
        <w:jc w:val="both"/>
      </w:pPr>
      <w:r>
        <w:drawing>
          <wp:inline distT="0" distB="0" distL="0" distR="0">
            <wp:extent cx="5724525" cy="3209925"/>
            <wp:docPr id="14" name="Picture 14"/>
            <a:graphic>
              <a:graphicData uri="http://schemas.openxmlformats.org/drawingml/2006/picture">
                <pic:pic>
                  <pic:nvPicPr>
                    <pic:cNvPr id="14" name="Picture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人工标注</w:t>
        <w:br/>
      </w:r>
      <w:r>
        <w:t>为了更好可视化标注结果、加快标注人员标注效率，减少无用工作，我借助AI开发了一套标注平台，有</w:t>
      </w:r>
      <w:r>
        <w:rPr>
          <w:b/>
        </w:rPr>
        <w:t>判别原因展示、检索分页、缩放、标注快捷键</w:t>
      </w:r>
      <w:r>
        <w:t>等功能。标注人员在平台上根据五档业务规则，确定标签是否正确，并随时将异常情况反馈给我，我立刻调整阈值改善效果（如印章检测的置信度，漏检补偿的规则）。相比之前是维护一个共享的excel表，标注人员去挨个复制粘贴文件名、查询数据，打标签写回excel，最后会议反馈，效率提升了五倍以上。</w:t>
      </w:r>
    </w:p>
    <w:p>
      <w:pPr>
        <w:jc w:val="both"/>
      </w:pPr>
      <w:r>
        <w:drawing>
          <wp:inline distT="0" distB="0" distL="0" distR="0">
            <wp:extent cx="5724525" cy="3219450"/>
            <wp:docPr id="15" name="Picture 15"/>
            <a:graphic>
              <a:graphicData uri="http://schemas.openxmlformats.org/drawingml/2006/picture">
                <pic:pic>
                  <pic:nvPicPr>
                    <pic:cNvPr id="15" name="Picture 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</w:rPr>
        <w:t>数据集构成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4513"/>
        <w:gridCol w:w="4513"/>
      </w:tblGrid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数据集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数量</w:t>
            </w:r>
          </w:p>
        </w:tc>
      </w:tr>
      <w:tr>
        <w:tc>
          <w:tcPr>
            <w:tcW w:w="4513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训练集(75%，共9,850)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Level 1 (excellent): 5249 (53.3%)</w:t>
            </w:r>
          </w:p>
        </w:tc>
      </w:tr>
      <w:tr>
        <w:tc>
          <w:tcPr>
            <w:tcW w:w="4513" w:type="dxa"/>
            <w:vMerge/>
          </w:tcPr>
          <w:p/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Level 2 (good):      3352 (34.0%)</w:t>
            </w:r>
          </w:p>
        </w:tc>
      </w:tr>
      <w:tr>
        <w:tc>
          <w:tcPr>
            <w:tcW w:w="4513" w:type="dxa"/>
            <w:vMerge/>
          </w:tcPr>
          <w:p/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Level 3 (fair):       828 (8.4%)</w:t>
            </w:r>
          </w:p>
        </w:tc>
      </w:tr>
      <w:tr>
        <w:tc>
          <w:tcPr>
            <w:tcW w:w="4513" w:type="dxa"/>
            <w:vMerge/>
          </w:tcPr>
          <w:p/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Level 4 (poor):       337 (3.4%)</w:t>
            </w:r>
          </w:p>
        </w:tc>
      </w:tr>
      <w:tr>
        <w:tc>
          <w:tcPr>
            <w:tcW w:w="4513" w:type="dxa"/>
            <w:vMerge/>
          </w:tcPr>
          <w:p/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 Level 5 (bad):         84 (0.9%)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测试集(25%)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共 3,283</w:t>
            </w:r>
          </w:p>
        </w:tc>
      </w:tr>
    </w:tbl>
    <w:p/>
    <w:p/>
    <w:p/>
    <w:p/>
    <w:p>
      <w:r>
        <w:t>由于level5和level4的样本数量最少，为防止直接训练会导致模型偏好输出低level，使用平方根反频率过采样，将训练集数据提升到13523条。</w:t>
      </w:r>
    </w:p>
    <w:p>
      <w:r>
        <w:rPr>
          <w:b/>
        </w:rPr>
        <w:t>标签平滑</w:t>
      </w:r>
    </w:p>
    <w:p>
      <w:r>
        <w:t>考虑到人工与模型都存在标注误差，且五档清晰度本身是序数关系而非互斥类别（相邻档之间没有清晰边界），若用独热硬标签训练，模型会被迫对边界样本过度自信，反而过拟合噪声、丧失泛化。因此采用基于序数距离的高斯标签平滑：以预标签等级为中心、方差 σ²≈0.3（即 σ≈0.55档）构造软标签分布，使相邻档获得比远档更高的权重，既保留了序数结构，也把标注不确定性显式注入监督信号。例如 Level 3 的硬标签 [0,0,1,0,0] 平滑为 [0.001,0.137,0.724,0.137,0.001]——中心仍主导（0.72），相邻档各分到约 0.14，远端近乎为 0。这样做的好处：1）抑制模型对预标签噪声的过拟合；2）允许模型在边界样本上给出"介于两档之间"的概率分布，而非被迫押注单档；3）天然匹配软标签 KL 损失，提升泛化和校准性。</w:t>
      </w:r>
    </w:p>
    <w:p>
      <w:pPr>
        <w:pStyle w:val="Heading4"/>
      </w:pPr>
      <w:r>
        <w:t>3.4.4.2 模型训练</w:t>
      </w:r>
    </w:p>
    <w:p>
      <w:pPr>
        <w:jc w:val="center"/>
      </w:pPr>
      <w:r>
        <w:drawing>
          <wp:inline distT="0" distB="0" distL="0" distR="0">
            <wp:extent cx="5724525" cy="1552575"/>
            <wp:docPr id="16" name="Picture 16"/>
            <a:graphic>
              <a:graphicData uri="http://schemas.openxmlformats.org/drawingml/2006/picture">
                <pic:pic>
                  <pic:nvPicPr>
                    <pic:cNvPr id="16" name="Picture 1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>loss设计</w:t>
      </w:r>
    </w:p>
    <w:p>
      <w:r>
        <w:t>Loss（取 "The quality of the image is" 末尾 "is" 位置 5 个类别 token 的 logits z∈R^5，batch 平均）</w:t>
      </w:r>
    </w:p>
    <w:p>
      <w:pPr>
        <w:jc w:val="left"/>
      </w:pPr>
      <w:r>
        <w:drawing>
          <wp:inline distT="0" distB="0" distL="0" distR="0">
            <wp:extent cx="2981325" cy="647700"/>
            <wp:docPr id="17" name="Picture 17"/>
            <a:graphic>
              <a:graphicData uri="http://schemas.openxmlformats.org/drawingml/2006/picture">
                <pic:pic>
                  <pic:nvPicPr>
                    <pic:cNvPr id="17" name="Picture 1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即软标签交叉熵H(q,softmax(z))，等价于KL(q∥p)+const。</w:t>
      </w:r>
    </w:p>
    <w:p>
      <w:r>
        <w:rPr>
          <w:b/>
        </w:rPr>
        <w:t>训练参数</w:t>
      </w:r>
    </w:p>
    <w:p>
      <w:r>
        <w:t>使用ms-swift框架，对qwen3.5-9B 进行微调</w:t>
      </w:r>
    </w:p>
    <w:p>
      <w:r>
        <w:t>LoRA 配置: rank=8, lr=1e-4, batch=2, grad_accum=4, epochs=3, BF16 + SDPA, 冻结视觉塔和 aligner, 使用显式训练/验证 JSONL。</w:t>
      </w:r>
    </w:p>
    <w:p>
      <w:r>
        <w:t>训练总步数：2538</w:t>
      </w:r>
    </w:p>
    <w:p>
      <w:pPr>
        <w:jc w:val="both"/>
      </w:pPr>
      <w:r>
        <w:drawing>
          <wp:inline distT="0" distB="0" distL="0" distR="0">
            <wp:extent cx="5724525" cy="4229100"/>
            <wp:docPr id="18" name="Picture 18"/>
            <a:graphic>
              <a:graphicData uri="http://schemas.openxmlformats.org/drawingml/2006/picture">
                <pic:pic>
                  <pic:nvPicPr>
                    <pic:cNvPr id="18" name="Picture 1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在step1200的时候模型便已经收敛，继续训练会过拟合效果更差，及时停止，将模型在验证集上面进行测试，并review结果，查看模型推理与预标签的分歧，纠正初始时候的错误标签，考虑到业务计划采用拒绝第四和第五类，因此重点统计将一二三类归位第四或者第五类的概率，组内则重点统计+1准确率（允许相差一个等级）最终得到如下结果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绝对准确率（和预标签完全一致）	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±1 准确率	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组内准确率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前→后跨档（好图判差）	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后→前跨档</w:t>
            </w:r>
          </w:p>
        </w:tc>
      </w:tr>
      <w:tr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70.42%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98.66%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99.82%</w:t>
            </w:r>
          </w:p>
        </w:tc>
        <w:tc>
          <w:tcPr>
            <w:tcW w:w="18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仅 1 条</w:t>
            </w:r>
          </w:p>
        </w:tc>
        <w:tc>
          <w:tcPr>
            <w:tcW w:w="18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仅 5 条</w:t>
            </w:r>
          </w:p>
        </w:tc>
      </w:tr>
    </w:tbl>
    <w:p>
      <w:pPr>
        <w:pStyle w:val="Heading4"/>
      </w:pPr>
      <w:r>
        <w:t>3.4.4.3 消融实验</w:t>
      </w:r>
    </w:p>
    <w:p>
      <w:r>
        <w:t>在模型训练的时候，我有如下思考</w:t>
      </w:r>
    </w:p>
    <w:p>
      <w:r>
        <w:t>1.软标签平滑是否需要，我们的ocr置信度判断规则会存在较大误差吗？直接硬标签会不会可能更好？</w:t>
      </w:r>
    </w:p>
    <w:p>
      <w:r>
        <w:t>2.直接用qwen的视觉分类器会不会效果更好？感觉目前场景下主要使用的是视觉能力。</w:t>
      </w:r>
    </w:p>
    <w:p>
      <w:r>
        <w:t>对这两个问题，我设计了两个实验，分别是采用硬标签分类和采用qwen3.5的纯视觉头，在同样的训练集和测试集合实验，得到如下结果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实验		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>exact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>
            <w:pPr>
              <w:jc w:val="left"/>
            </w:pPr>
            <w:r>
              <w:t xml:space="preserve">±1 准确率	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组内准确率*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前→后跨档（好图判差）</w:t>
            </w:r>
          </w:p>
        </w:tc>
        <w:tc>
          <w:tcPr>
            <w:tcW w:w="15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后→前跨档</w:t>
            </w:r>
          </w:p>
        </w:tc>
      </w:tr>
      <w:tr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规则预标注（原始 labels）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96.50%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98.05%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97.78%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51 条</w:t>
            </w:r>
          </w:p>
        </w:tc>
        <w:tc>
          <w:tcPr>
            <w:tcW w:w="15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22 条</w:t>
            </w:r>
          </w:p>
        </w:tc>
      </w:tr>
      <w:tr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LLM LoRA 软标签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70.42%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98.66%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99.82%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仅 1 条</w:t>
            </w:r>
          </w:p>
        </w:tc>
        <w:tc>
          <w:tcPr>
            <w:tcW w:w="15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color w:val="FC5A4E"/>
              </w:rPr>
              <w:t>仅 5 条</w:t>
            </w:r>
          </w:p>
        </w:tc>
      </w:tr>
      <w:tr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LLM LoRA 硬标签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65.03%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97.26%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98.63%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25 条</w:t>
            </w:r>
          </w:p>
        </w:tc>
        <w:tc>
          <w:tcPr>
            <w:tcW w:w="15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 条</w:t>
            </w:r>
          </w:p>
        </w:tc>
      </w:tr>
      <w:tr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纯视觉头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70.36%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98.69%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98.54%</w:t>
            </w:r>
          </w:p>
        </w:tc>
        <w:tc>
          <w:tcPr>
            <w:tcW w:w="15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 xml:space="preserve">30 条	</w:t>
            </w:r>
          </w:p>
        </w:tc>
        <w:tc>
          <w:tcPr>
            <w:tcW w:w="150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18 条</w:t>
            </w:r>
          </w:p>
        </w:tc>
      </w:tr>
    </w:tbl>
    <w:p>
      <w:pPr>
        <w:numPr>
          <w:ilvl w:val="0"/>
          <w:numId w:val="2"/>
        </w:numPr>
      </w:pPr>
      <w:r>
        <w:t>组内准确率 = 前三类/后两类不互相跨档即算对 。±1 准确率 = 偏差≤1 且不犯前→后跨档。</w:t>
      </w:r>
    </w:p>
    <w:p>
      <w:r>
        <w:t xml:space="preserve">    结论为 LLM LoRA（soft）最准。 两轮人工复核后，它的前后跨档错误 1 条，后判前5 条。组内准确率 99.82% 一骑绝尘。绝对准确率上 70.42%也超过纯视觉头70.36%成为第一，+1 准确率两者打平。</w:t>
      </w:r>
    </w:p>
    <w:p>
      <w:pPr>
        <w:pStyle w:val="Heading3"/>
      </w:pPr>
      <w:r>
        <w:t>3.4.5 结果总结</w:t>
      </w:r>
    </w:p>
    <w:p>
      <w:r>
        <w:t>从最终结果来看，针对Qwen3.5-9B做的微调起了作用，整体方案方向得到验证：</w:t>
      </w:r>
    </w:p>
    <w:p>
      <w:pPr>
        <w:numPr>
          <w:ilvl w:val="0"/>
          <w:numId w:val="101"/>
        </w:numPr>
      </w:pPr>
      <w:r>
        <w:t>模型优点：LLM LoRA（软标签）综合最优，组内准确率99.82%、前后跨档仅1/5条，是唯一把误拦和漏拦同时压到个位数的方案，exact 70.42%也是最高。VLM还理解五档序数递进关系而非互斥硬类别，输出可扩展（模糊区域、受影响字段、处理建议），且LoRA低成本即可重训适配规则变化。</w:t>
      </w:r>
    </w:p>
    <w:p>
      <w:pPr>
        <w:numPr>
          <w:ilvl w:val="0"/>
          <w:numId w:val="101"/>
        </w:numPr>
      </w:pPr>
      <w:r>
        <w:t>泛化性：复核分歧case发现多数是预标签错、模型对，说明模型学到的是"文字可辨识度"这一连续本质而非规则硬阈值，在水印、手写体、局部模糊等灰色地带仍贴合人工判断。±1准确率98.66%，即使判错也限制在相邻一档内不发散，拒单稳定。</w:t>
      </w:r>
    </w:p>
    <w:p>
      <w:pPr>
        <w:numPr>
          <w:ilvl w:val="0"/>
          <w:numId w:val="101"/>
        </w:numPr>
      </w:pPr>
      <w:r>
        <w:t>为什么硬标签和纯视觉不行：</w:t>
      </w:r>
    </w:p>
    <w:p>
      <w:pPr>
        <w:ind w:left="420"/>
      </w:pPr>
      <w:r>
        <w:t>硬标签把规则预标签的噪声当成确定事实去拟合，exact跌至65.03%、前→后跨档25条；软标签则保留了相邻等级±0.3的合理不确定性。纯视觉头缺少"读字"能力，把整页压成全局特征丢失局部细节，无法理解"表格线断裂不算模糊"等语义规则，还易把印章水印误判为模糊，组内98.54%、跨档30条。</w:t>
      </w:r>
    </w:p>
    <w:p>
      <w:pPr>
        <w:numPr>
          <w:ilvl w:val="0"/>
          <w:numId w:val="101"/>
        </w:numPr>
      </w:pPr>
      <w:r>
        <w:t>需要做的优化：标签质量是当前最大瓶颈而非模型结构，分歧case中预标签错误占多数，集中在2/3档和4/5档边界。计划用模型替代规则做预标、只复核分歧样本、全量回洗后重训，并补充Level 4/5长尾样本（当前仅337/84条）。</w:t>
      </w:r>
    </w:p>
    <w:p>
      <w:pPr>
        <w:numPr>
          <w:ilvl w:val="0"/>
          <w:numId w:val="101"/>
        </w:numPr>
      </w:pPr>
      <w:r>
        <w:t>落地路径：主方案是LLM LoRA上线（9B单卡可部署，拒Level 4/5、Level 3转人审）；纯视觉头作为轻量降级或前置粗筛，组成"视觉头分流+LLM复核边界"的两级路由；上线后bad case回流形成迭代闭环。</w:t>
      </w:r>
    </w:p>
    <w:p>
      <w:pPr>
        <w:pStyle w:val="Heading1"/>
      </w:pPr>
      <w:r>
        <w:t>四、AI 实践与思考</w:t>
      </w:r>
    </w:p>
    <w:p>
      <w:r>
        <w:t>因为我本职工作就是 AI 模型训练，所以 AI 工具对我更多是"效率放大器"而非"能力替代品"。实习期间，AI 主要渗透在我工作的六个环节：</w:t>
      </w:r>
    </w:p>
    <w:p/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环节</w:t>
            </w:r>
          </w:p>
        </w:tc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具体用法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编写训练代码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训练脚本、数据清洗、格式转换、评估指标计算等代码的编写与重构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开发标注平台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借助 AI 编程工具快速开发了清晰度标注、印章复核等多套标注平台，从前端交互到后端接口全流程，相比共享 Excel 标注效率提升 5 倍以上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文献调研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快速梳理文档质量评估、IQA 方向的论文脉络与方法对比，定位到"OCR 置信度是文档质量最关键特征"这一关键结论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分析问题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bad case 归因、数据分布分析、实验失败原因排查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设计实验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技术方案枚举对比、消融实验设计、评估指标定义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监控训练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编写训练日志实时监控脚本，追踪 loss 与验证指标变化，异常及时告警</w:t>
            </w:r>
          </w:p>
        </w:tc>
      </w:tr>
    </w:tbl>
    <w:p/>
    <w:p>
      <w:r>
        <w:t>在这个过程中，我总结出几条经验：</w:t>
      </w:r>
    </w:p>
    <w:p/>
    <w:p>
      <w:r>
        <w:rPr>
          <w:b/>
        </w:rPr>
        <w:t>1. 用可交互的 HTML 页面/小应用代替 md 文档做汇报与分析。</w:t>
      </w:r>
      <w:r>
        <w:t xml:space="preserve"> bad case 展示、数据分布探索、实验结果对比这类内容，做成可筛选、可缩放、可下钻的页面，信息密度和沟通效率远高于静态文档，评委和业务方能自己"玩"数据。</w:t>
      </w:r>
    </w:p>
    <w:p/>
    <w:p>
      <w:r>
        <w:rPr>
          <w:b/>
        </w:rPr>
        <w:t>2.维护个性化的memory.md，让 AI "懂环境、懂业务"</w:t>
      </w:r>
      <w:r>
        <w:t>。把公司网络环境配置、内部工具的使用方法、数据路径、常用命令、业务术语约定等写进项目记忆，AI 每次对话都自带上下文，避免反复解释，输出质量显著提升。</w:t>
      </w:r>
    </w:p>
    <w:p/>
    <w:p>
      <w:r>
        <w:rPr>
          <w:b/>
        </w:rPr>
        <w:t>3. 上下文质量决定输出质量。</w:t>
      </w:r>
      <w:r>
        <w:t xml:space="preserve"> 给 AI 喂错误日志原文、真实数据样例、业务规则条文，而不是一句模糊的需求描述；输入越具体，返工越少。</w:t>
      </w:r>
    </w:p>
    <w:p/>
    <w:p>
      <w:r>
        <w:rPr>
          <w:b/>
        </w:rPr>
        <w:t>4. 小步快跑，边写边验。</w:t>
      </w:r>
      <w:r>
        <w:t xml:space="preserve"> 复杂任务拆成可独立运行的小模块，AI 每写完一块立刻跑通验证，避免攒出一大坨无法运行的代码再 debug；同时勤 commit，防止 AI 改飞后无法回滚。</w:t>
      </w:r>
    </w:p>
    <w:p/>
    <w:p>
      <w:r>
        <w:rPr>
          <w:b/>
        </w:rPr>
        <w:t>5. 关键逻辑必须人工把关。</w:t>
      </w:r>
      <w:r>
        <w:t xml:space="preserve"> 数据处理和评估代码"能跑"不等于"算对"，标签对齐、指标口径这类地方 AI 容易埋隐蔽的坑，必须自己 review。</w:t>
      </w:r>
    </w:p>
    <w:p/>
    <w:p>
      <w:r>
        <w:rPr>
          <w:b/>
        </w:rPr>
        <w:t>6. AI 负责广度，人负责判断。</w:t>
      </w:r>
      <w:r>
        <w:t xml:space="preserve"> 让 AI 做方案枚举和优缺点罗列很便宜，但拍板要基于业务约束自己判断——比如清晰度任务中"二分类改五分类"的决策，AI 可以给参考，但对业务数据的理解才是决策依据。</w:t>
      </w:r>
    </w:p>
    <w:p>
      <w:pPr>
        <w:pStyle w:val="Heading1"/>
      </w:pPr>
      <w:r>
        <w:t>五、总结和展望</w:t>
      </w:r>
    </w:p>
    <w:p>
      <w:pPr>
        <w:pStyle w:val="Heading2"/>
      </w:pPr>
      <w:r>
        <w:t>做得好的地方</w:t>
      </w:r>
    </w:p>
    <w:p>
      <w:r>
        <w:rPr>
          <w:b/>
        </w:rPr>
        <w:t>1. 完成了从"追求离线指标"到"业务可信"的思维转变。</w:t>
      </w:r>
      <w:r>
        <w:t xml:space="preserve"> 清晰度任务中，我没有继续在 XGBoost 阈值上死磕，而是回溯到问题本质——清晰与模糊的标准本身就没有共识，进而推动任务从二分类重定义为五档序数分类，并用 OCR 置信度锚定可操作的标准。这让我认识到：</w:t>
      </w:r>
      <w:r>
        <w:rPr>
          <w:b/>
        </w:rPr>
        <w:t>很多模型问题，本质是任务定义问题。</w:t>
      </w:r>
    </w:p>
    <w:p/>
    <w:p>
      <w:r>
        <w:rPr>
          <w:b/>
        </w:rPr>
        <w:t>2. 建立了全链路的工作视角。</w:t>
      </w:r>
      <w:r>
        <w:t xml:space="preserve"> 工作不止于模型训练，向上游延伸到任务定义和数据标准，向下游延伸到标注平台建设、决策路由和人审闭环，最终四个任务在数万条数据上精准率达到 100%。</w:t>
      </w:r>
    </w:p>
    <w:p/>
    <w:p>
      <w:r>
        <w:rPr>
          <w:b/>
        </w:rPr>
        <w:t>3. 把数据质量放在模型技巧之前。</w:t>
      </w:r>
      <w:r>
        <w:t xml:space="preserve"> 采用"规则预标注 + 人工复核 + 平台化反馈"的数据构建方式，标注效率提升 5 倍，标签质量有了机制性保障，而不是依赖个人细心。</w:t>
      </w:r>
    </w:p>
    <w:p/>
    <w:p>
      <w:r>
        <w:rPr>
          <w:b/>
        </w:rPr>
        <w:t>4.在资源约束下找到了效果与成本的最佳平衡</w:t>
      </w:r>
      <w:r>
        <w:t>。 这几个任务都达到了99%及以上的精准度，但训练数据仅靠一名标注人员 + 规则预标 + 平台化复核就完成数万条；模型上线后单卡即可部署、推理时延满足 3 秒业务硬约束，未额外占用大显存或多卡资源。即在标注人力、算力、线上延迟三重约束下，拿到了当前可达的最优精度，而非盲目堆参数、堆数据。</w:t>
      </w:r>
    </w:p>
    <w:p>
      <w:pPr>
        <w:pStyle w:val="Heading2"/>
      </w:pPr>
      <w:r>
        <w:t>做得不好的地方</w:t>
      </w:r>
    </w:p>
    <w:p>
      <w:r>
        <w:rPr>
          <w:b/>
        </w:rPr>
        <w:t>1. 对"标准不清"这一根因识别偏晚。</w:t>
      </w:r>
      <w:r>
        <w:t xml:space="preserve"> 前期在 XGBoost 阈值切分、CLIP 零样本等方案上花费了较多时间试错，如果更早与业务方对齐标注标准、先做任务定义的推演，可以少走约一半的弯路。</w:t>
      </w:r>
    </w:p>
    <w:p/>
    <w:p>
      <w:r>
        <w:rPr>
          <w:b/>
        </w:rPr>
        <w:t>2. 与业务方的对齐不够前置和高频。</w:t>
      </w:r>
      <w:r>
        <w:t xml:space="preserve"> 初期对"什么样的文书该拒"更多依赖自己的假设，后来才发现安管侧的判断逻辑与模型结果差异很大（一致性仅 23%），这类认知差应该通过早期的 case 对齐会议来消除。</w:t>
      </w:r>
    </w:p>
    <w:p/>
    <w:p>
      <w:r>
        <w:rPr>
          <w:b/>
        </w:rPr>
        <w:t>3. 实验管理不够系统。</w:t>
      </w:r>
      <w:r>
        <w:t xml:space="preserve"> 部分中间实验的配置、结果记录分散，回头做横向对比时成本较高，缺少统一的实验追踪习惯。</w:t>
      </w:r>
    </w:p>
    <w:p/>
    <w:p>
      <w:r>
        <w:rPr>
          <w:b/>
        </w:rPr>
        <w:t>4. 业务价值尚未完全兑现。</w:t>
      </w:r>
      <w:r>
        <w:t xml:space="preserve"> 目前离线模型开发完成，但还未接入线上，真实的拒单收益和误拦风险还没有经过线上检验。</w:t>
      </w:r>
    </w:p>
    <w:p>
      <w:pPr>
        <w:pStyle w:val="Heading2"/>
      </w:pPr>
      <w:r>
        <w:t>待提升点与提升计划</w:t>
      </w:r>
    </w:p>
    <w:tbl>
      <w:tblPr>
        <w:tblW w:w="9026" w:type="dxa"/>
        <w:tblLayout w:type="fixed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666666"/>
          <w:insideV w:val="single" w:sz="4" w:space="0" w:color="666666"/>
        </w:tblBorders>
      </w:tblPr>
      <w:tblGrid>
        <w:gridCol w:w="4513"/>
        <w:gridCol w:w="4513"/>
      </w:tblGrid>
      <w:tr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待提升点</w:t>
            </w:r>
          </w:p>
        </w:tc>
        <w:tc>
          <w:tcPr>
            <w:tcW w:w="4513" w:type="dxa"/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提升计划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业务理解深度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从"做好模型"到"算清账"：量化拒单率、误拦成本、人审工时节省，让技术决策以业务 ROI 为锚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工程落地能力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补齐模型部署、推理加速、线上监控的短板，推动清晰度模型完成上线接入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数据闭环意识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上线后建立 bad case 回流机制，形成"标注-训练-上线-回流-迭代"的完整闭环</w:t>
            </w:r>
          </w:p>
        </w:tc>
      </w:tr>
      <w:tr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实验管理规范</w:t>
            </w:r>
          </w:p>
        </w:tc>
        <w:tc>
          <w:tcPr>
            <w:tcW w:w="4513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建立统一的实验记录模板，关键实验做到配置、数据版本、结果可追溯</w:t>
            </w:r>
          </w:p>
        </w:tc>
      </w:tr>
    </w:tbl>
    <w:p/>
    <w:p>
      <w:pPr>
        <w:pStyle w:val="Heading4"/>
      </w:pPr>
      <w:r>
        <w:t>长期来看，我希望继续深耕多模态大模型在垂直业务场景的落地——不只是把模型训出来，而是让模型在真实业务约束下成为稳定、可信、可持续迭代的能力。这段实习让我完成了从"训练模型的人"到"对业务结果负责的人"的第一步转变，接下来我会把这条路走扎实。</w:t>
      </w:r>
    </w:p>
    <w:sectPr>
      <w:pgSz w:w="11906" w:h="16838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d="0" w:author="taotzhu" w:date="2026-08-18T19:33:05" w:initials="">
    <w:p>
      <w:r>
        <w:t>这里表格关键挑战1，2，3 可以多写一些 体现技术性</w:t>
      </w:r>
    </w:p>
  </w:comment>
  <w:comment w:id="1" w:author="taotzhu" w:date="2026-08-18T19:46:53" w:initials="">
    <w:p>
      <w:r>
        <w:t>最好说具体量化数字</w:t>
      </w:r>
    </w:p>
  </w:comment>
  <w:comment w:id="2" w:author="taotzhu" w:date="2026-08-18T19:51:27" w:initials="">
    <w:p>
      <w:r>
        <w:t>这里的思考不错，要更进一步，为什么人主观和机器识别结果不一样，思考原因，1.人会展开联想 人会放大像素去猜 但是对应机器的就是ocr识别置信度低 2.一些干扰项比如水印 纹路 反光等会对模型识别产生干扰 但是人会天然剔除掉这些 你再想一下 尽量体现你的思考</w:t>
      </w:r>
    </w:p>
  </w:comment>
  <w:comment w:id="3" w:author="taotzhu" w:date="2026-08-18T19:54:40" w:initials="">
    <w:p>
      <w:r>
        <w:t>这里需要用几个图片来对比说明 单靠ocr置信度也不行 举几个反例 然后引出你其他的补充方案 比如像素占比等</w:t>
      </w:r>
    </w:p>
  </w:comment>
  <w:comment w:id="4" w:author="taotzhu" w:date="2026-08-18T19:59:24" w:initials="">
    <w:p>
      <w:r>
        <w:t>这里重点展示你的思考 为什么用现在这个模型 从模型原理 从结构 对比其他模型优势在哪里 可以参考论文 一般论文前几章会说明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%5."/>
      <w:lvlJc w:val="left"/>
      <w:pPr>
        <w:ind w:left="1800" w:hanging="360"/>
      </w:pPr>
    </w:lvl>
    <w:lvl w:ilvl="5">
      <w:start w:val="1"/>
      <w:numFmt w:val="lowerRoman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2">
    <w:lvl w:ilvl="0">
      <w:start w:val="1"/>
      <w:numFmt w:val="bullet"/>
      <w:lvlText w:val="☐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☐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☐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☐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☐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☐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☐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☐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☐"/>
      <w:lvlJc w:val="left"/>
      <w:pPr>
        <w:ind w:left="3240" w:hanging="360"/>
      </w:pPr>
      <w:rPr>
        <w:rFonts w:ascii="MS Gothic" w:hAnsi="MS Gothic" w:hint="default"/>
      </w:rPr>
    </w:lvl>
  </w:abstractNum>
  <w:abstractNum w:abstractNumId="3">
    <w:lvl w:ilvl="0">
      <w:start w:val="1"/>
      <w:numFmt w:val="bullet"/>
      <w:lvlText w:val="☑"/>
      <w:lvlJc w:val="left"/>
      <w:pPr>
        <w:ind w:left="360" w:hanging="360"/>
      </w:pPr>
      <w:rPr>
        <w:rFonts w:ascii="MS Gothic" w:hAnsi="MS Gothic" w:hint="default"/>
      </w:rPr>
    </w:lvl>
    <w:lvl w:ilvl="1">
      <w:start w:val="1"/>
      <w:numFmt w:val="bullet"/>
      <w:lvlText w:val="☑"/>
      <w:lvlJc w:val="left"/>
      <w:pPr>
        <w:ind w:left="720" w:hanging="360"/>
      </w:pPr>
      <w:rPr>
        <w:rFonts w:ascii="MS Gothic" w:hAnsi="MS Gothic" w:hint="default"/>
      </w:rPr>
    </w:lvl>
    <w:lvl w:ilvl="2">
      <w:start w:val="1"/>
      <w:numFmt w:val="bullet"/>
      <w:lvlText w:val="☑"/>
      <w:lvlJc w:val="left"/>
      <w:pPr>
        <w:ind w:left="1080" w:hanging="360"/>
      </w:pPr>
      <w:rPr>
        <w:rFonts w:ascii="MS Gothic" w:hAnsi="MS Gothic" w:hint="default"/>
      </w:rPr>
    </w:lvl>
    <w:lvl w:ilvl="3">
      <w:start w:val="1"/>
      <w:numFmt w:val="bullet"/>
      <w:lvlText w:val="☑"/>
      <w:lvlJc w:val="left"/>
      <w:pPr>
        <w:ind w:left="1440" w:hanging="360"/>
      </w:pPr>
      <w:rPr>
        <w:rFonts w:ascii="MS Gothic" w:hAnsi="MS Gothic" w:hint="default"/>
      </w:rPr>
    </w:lvl>
    <w:lvl w:ilvl="4">
      <w:start w:val="1"/>
      <w:numFmt w:val="bullet"/>
      <w:lvlText w:val="☑"/>
      <w:lvlJc w:val="left"/>
      <w:pPr>
        <w:ind w:left="1800" w:hanging="360"/>
      </w:pPr>
      <w:rPr>
        <w:rFonts w:ascii="MS Gothic" w:hAnsi="MS Gothic" w:hint="default"/>
      </w:rPr>
    </w:lvl>
    <w:lvl w:ilvl="5">
      <w:start w:val="1"/>
      <w:numFmt w:val="bullet"/>
      <w:lvlText w:val="☑"/>
      <w:lvlJc w:val="left"/>
      <w:pPr>
        <w:ind w:left="2160" w:hanging="360"/>
      </w:pPr>
      <w:rPr>
        <w:rFonts w:ascii="MS Gothic" w:hAnsi="MS Gothic" w:hint="default"/>
      </w:rPr>
    </w:lvl>
    <w:lvl w:ilvl="6">
      <w:start w:val="1"/>
      <w:numFmt w:val="bullet"/>
      <w:lvlText w:val="☑"/>
      <w:lvlJc w:val="left"/>
      <w:pPr>
        <w:ind w:left="2520" w:hanging="360"/>
      </w:pPr>
      <w:rPr>
        <w:rFonts w:ascii="MS Gothic" w:hAnsi="MS Gothic" w:hint="default"/>
      </w:rPr>
    </w:lvl>
    <w:lvl w:ilvl="7">
      <w:start w:val="1"/>
      <w:numFmt w:val="bullet"/>
      <w:lvlText w:val="☑"/>
      <w:lvlJc w:val="left"/>
      <w:pPr>
        <w:ind w:left="2880" w:hanging="360"/>
      </w:pPr>
      <w:rPr>
        <w:rFonts w:ascii="MS Gothic" w:hAnsi="MS Gothic" w:hint="default"/>
      </w:rPr>
    </w:lvl>
    <w:lvl w:ilvl="8">
      <w:start w:val="1"/>
      <w:numFmt w:val="bullet"/>
      <w:lvlText w:val="☑"/>
      <w:lvlJc w:val="left"/>
      <w:pPr>
        <w:ind w:left="3240" w:hanging="360"/>
      </w:pPr>
      <w:rPr>
        <w:rFonts w:ascii="MS Gothic" w:hAnsi="MS Gothic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1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efaultTabStop w:val="420"/>
  <w:displayBackgroundShape/>
  <w:compat>
    <w:compatSetting w:name="compatibilityMode" w:uri="http://schemas.microsoft.com/office/word" w:val="15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outlineLvl w:val="0"/>
      <w:spacing w:before="265" w:after="142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outlineLvl w:val="1"/>
      <w:spacing w:before="230" w:after="124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outlineLvl w:val="2"/>
      <w:spacing w:before="195" w:after="106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outlineLvl w:val="3"/>
      <w:spacing w:before="160" w:after="88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  <w:spacing w:before="125" w:after="70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outlineLvl w:val="5"/>
      <w:spacing w:before="90" w:after="52"/>
    </w:pPr>
    <w:rPr>
      <w:b/>
      <w:sz w:val="20"/>
      <w:szCs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comments" Target="comment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>
  <Application>smartcanvas-export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实习答辩总结</dc:title>
  <dc:creator>smartcanvas-export</dc:creator>
</cp:coreProperties>
</file>