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8054" w14:textId="6639DE7F" w:rsidR="004B7CB7" w:rsidRDefault="00495B90" w:rsidP="00146490">
      <w:pPr>
        <w:pStyle w:val="Title"/>
      </w:pPr>
      <w:bookmarkStart w:id="0" w:name="_GoBack"/>
      <w:bookmarkEnd w:id="0"/>
      <w:r w:rsidRPr="00495B90">
        <w:t xml:space="preserve">Lab </w:t>
      </w:r>
      <w:r w:rsidR="00BE6BE4">
        <w:t>6</w:t>
      </w:r>
      <w:r>
        <w:t xml:space="preserve"> –</w:t>
      </w:r>
      <w:r w:rsidRPr="00495B90">
        <w:t xml:space="preserve"> </w:t>
      </w:r>
      <w:r w:rsidR="00BE6BE4">
        <w:t>Monitor</w:t>
      </w:r>
      <w:r w:rsidR="00C4682A">
        <w:t xml:space="preserve"> factory activity</w:t>
      </w:r>
    </w:p>
    <w:p w14:paraId="3AECF9F8" w14:textId="7F7C47E8" w:rsidR="00BE6BE4" w:rsidRDefault="00BE6BE4" w:rsidP="00FF7A28">
      <w:r>
        <w:t>ADF provides a number of options for monitoring pipelines. The ADF UX includes a visual monitoring experience which you can use to inspect pipeline executions. You may also choose to route log</w:t>
      </w:r>
      <w:r w:rsidR="00FF1B02">
        <w:t>s</w:t>
      </w:r>
      <w:r>
        <w:t xml:space="preserve"> into another Azure service for longer-term storage or more sophisticated analysis. </w:t>
      </w:r>
      <w:r w:rsidR="00FF1B02">
        <w:t>T</w:t>
      </w:r>
      <w:r>
        <w:t xml:space="preserve">his lab </w:t>
      </w:r>
      <w:r w:rsidR="00FF1B02">
        <w:t xml:space="preserve">uses the ADF UX monitoring experience and explores the benefits of </w:t>
      </w:r>
      <w:r>
        <w:t>rout</w:t>
      </w:r>
      <w:r w:rsidR="00FF1B02">
        <w:t>ing</w:t>
      </w:r>
      <w:r>
        <w:t xml:space="preserve"> log data to Azure Log Analytics.</w:t>
      </w:r>
    </w:p>
    <w:p w14:paraId="24E3DDEC" w14:textId="452C3149" w:rsidR="002769B2" w:rsidRDefault="002769B2" w:rsidP="00FF7A28">
      <w:pPr>
        <w:pStyle w:val="Heading1"/>
      </w:pPr>
      <w:r>
        <w:t xml:space="preserve">Lab </w:t>
      </w:r>
      <w:r w:rsidR="00EA6940">
        <w:t>6</w:t>
      </w:r>
      <w:r>
        <w:t>.1 – Create a Log Analytics workspace</w:t>
      </w:r>
    </w:p>
    <w:p w14:paraId="3CC34C70" w14:textId="45065A51" w:rsidR="002769B2" w:rsidRPr="002769B2" w:rsidRDefault="002769B2" w:rsidP="002769B2">
      <w:r>
        <w:t>To access the Azure Log Analytics service, create a Log Analytics workspace.</w:t>
      </w:r>
    </w:p>
    <w:p w14:paraId="0EAAB69F" w14:textId="2A70D9ED" w:rsidR="002769B2" w:rsidRDefault="002769B2" w:rsidP="00B131F0">
      <w:pPr>
        <w:pStyle w:val="ListParagraph"/>
        <w:numPr>
          <w:ilvl w:val="0"/>
          <w:numId w:val="3"/>
        </w:numPr>
      </w:pPr>
      <w:r>
        <w:t>In the Azure portal, click “Create a resource” and search for “</w:t>
      </w:r>
      <w:r w:rsidRPr="002769B2">
        <w:t>Log Analytics Workspace</w:t>
      </w:r>
      <w:r>
        <w:t>”. Click “Create” on the overview screen.</w:t>
      </w:r>
    </w:p>
    <w:p w14:paraId="466520BB" w14:textId="77777777" w:rsidR="002769B2" w:rsidRDefault="002769B2" w:rsidP="002769B2">
      <w:pPr>
        <w:pStyle w:val="ListParagraph"/>
      </w:pPr>
    </w:p>
    <w:p w14:paraId="3BEC2C7D" w14:textId="30F405D1" w:rsidR="002769B2" w:rsidRDefault="002769B2" w:rsidP="00B131F0">
      <w:pPr>
        <w:pStyle w:val="ListParagraph"/>
        <w:numPr>
          <w:ilvl w:val="0"/>
          <w:numId w:val="3"/>
        </w:numPr>
      </w:pPr>
      <w:r>
        <w:t xml:space="preserve">Complete the </w:t>
      </w:r>
      <w:r w:rsidRPr="007D1BF5">
        <w:rPr>
          <w:b/>
          <w:bCs/>
        </w:rPr>
        <w:t>Basics</w:t>
      </w:r>
      <w:r>
        <w:t xml:space="preserve"> tab like this:</w:t>
      </w:r>
    </w:p>
    <w:p w14:paraId="558D5747" w14:textId="77777777" w:rsidR="00BA6C5F" w:rsidRDefault="00BA6C5F" w:rsidP="00BA6C5F">
      <w:pPr>
        <w:pStyle w:val="ListParagraph"/>
        <w:ind w:left="1440"/>
      </w:pPr>
    </w:p>
    <w:p w14:paraId="6E739C57" w14:textId="52BA70FC" w:rsidR="002769B2" w:rsidRDefault="002769B2" w:rsidP="00B131F0">
      <w:pPr>
        <w:pStyle w:val="ListParagraph"/>
        <w:numPr>
          <w:ilvl w:val="1"/>
          <w:numId w:val="4"/>
        </w:numPr>
      </w:pPr>
      <w:r>
        <w:t>Choose the subscription and resource group you’ve been using throughout this lab</w:t>
      </w:r>
    </w:p>
    <w:p w14:paraId="644199C8" w14:textId="3F082E30" w:rsidR="002769B2" w:rsidRDefault="002769B2" w:rsidP="00B131F0">
      <w:pPr>
        <w:pStyle w:val="ListParagraph"/>
        <w:numPr>
          <w:ilvl w:val="1"/>
          <w:numId w:val="4"/>
        </w:numPr>
      </w:pPr>
      <w:r>
        <w:t>Enter a name for your workspace</w:t>
      </w:r>
    </w:p>
    <w:p w14:paraId="263B4C2A" w14:textId="5D3B0966" w:rsidR="002769B2" w:rsidRDefault="002769B2" w:rsidP="00B131F0">
      <w:pPr>
        <w:pStyle w:val="ListParagraph"/>
        <w:numPr>
          <w:ilvl w:val="1"/>
          <w:numId w:val="4"/>
        </w:numPr>
      </w:pPr>
      <w:r>
        <w:t>Choose the same region you specified for your resource group, then click “OK”</w:t>
      </w:r>
    </w:p>
    <w:p w14:paraId="2E09045A" w14:textId="538C1140" w:rsidR="002769B2" w:rsidRPr="002769B2" w:rsidRDefault="002769B2" w:rsidP="002769B2">
      <w:pPr>
        <w:ind w:left="720"/>
      </w:pPr>
      <w:r>
        <w:t>Click “Review + create”, then “Create”.</w:t>
      </w:r>
    </w:p>
    <w:p w14:paraId="6820DF34" w14:textId="7A35AF1B" w:rsidR="00495B90" w:rsidRDefault="00FF7A28" w:rsidP="00FF7A28">
      <w:pPr>
        <w:pStyle w:val="Heading1"/>
      </w:pPr>
      <w:r>
        <w:t xml:space="preserve">Lab </w:t>
      </w:r>
      <w:r w:rsidR="00EA6940">
        <w:t>6</w:t>
      </w:r>
      <w:r>
        <w:t>.</w:t>
      </w:r>
      <w:r w:rsidR="002769B2">
        <w:t>2</w:t>
      </w:r>
      <w:r>
        <w:t xml:space="preserve"> – C</w:t>
      </w:r>
      <w:r w:rsidR="00BE6BE4">
        <w:t>onfigure diagnostic settings</w:t>
      </w:r>
    </w:p>
    <w:p w14:paraId="51FB5945" w14:textId="3637513E" w:rsidR="00BE6BE4" w:rsidRDefault="00BE6BE4" w:rsidP="00BE6BE4">
      <w:r>
        <w:t xml:space="preserve">Routing log data to </w:t>
      </w:r>
      <w:r w:rsidR="002769B2">
        <w:t xml:space="preserve">Log Analytics or </w:t>
      </w:r>
      <w:r>
        <w:t>other services is configured in your factory’s Azure portal blade.</w:t>
      </w:r>
    </w:p>
    <w:p w14:paraId="257CD3D3" w14:textId="433F7A2E" w:rsidR="00BE6BE4" w:rsidRDefault="00BE6BE4" w:rsidP="00B131F0">
      <w:pPr>
        <w:pStyle w:val="ListParagraph"/>
        <w:numPr>
          <w:ilvl w:val="0"/>
          <w:numId w:val="2"/>
        </w:numPr>
      </w:pPr>
      <w:r>
        <w:t xml:space="preserve">On the </w:t>
      </w:r>
      <w:r w:rsidR="00D329CE">
        <w:t>factory’s blade in the Azure portal, select “Diagnostics settings” from the sidebar, then click “+ Add diagnostic setting”</w:t>
      </w:r>
      <w:r w:rsidR="002769B2">
        <w:t>.</w:t>
      </w:r>
    </w:p>
    <w:p w14:paraId="753F1352" w14:textId="1F982DBB" w:rsidR="002769B2" w:rsidRDefault="002769B2" w:rsidP="002769B2">
      <w:pPr>
        <w:pStyle w:val="ListParagraph"/>
      </w:pPr>
    </w:p>
    <w:p w14:paraId="2C1F1782" w14:textId="38D35CD9" w:rsidR="002769B2" w:rsidRDefault="002769B2" w:rsidP="002769B2">
      <w:pPr>
        <w:pStyle w:val="ListParagraph"/>
      </w:pPr>
      <w:r>
        <w:rPr>
          <w:noProof/>
        </w:rPr>
        <w:drawing>
          <wp:inline distT="0" distB="0" distL="0" distR="0" wp14:anchorId="3DD231CC" wp14:editId="123C92AB">
            <wp:extent cx="5724525" cy="357568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75685"/>
                    </a:xfrm>
                    <a:prstGeom prst="rect">
                      <a:avLst/>
                    </a:prstGeom>
                    <a:noFill/>
                    <a:ln>
                      <a:noFill/>
                    </a:ln>
                  </pic:spPr>
                </pic:pic>
              </a:graphicData>
            </a:graphic>
          </wp:inline>
        </w:drawing>
      </w:r>
    </w:p>
    <w:p w14:paraId="7DF0F29B" w14:textId="77777777" w:rsidR="002769B2" w:rsidRDefault="002769B2" w:rsidP="002769B2">
      <w:pPr>
        <w:pStyle w:val="ListParagraph"/>
      </w:pPr>
    </w:p>
    <w:p w14:paraId="1E880752" w14:textId="77777777" w:rsidR="00EA6940" w:rsidRDefault="00EA6940" w:rsidP="00B131F0">
      <w:pPr>
        <w:pStyle w:val="ListParagraph"/>
        <w:numPr>
          <w:ilvl w:val="0"/>
          <w:numId w:val="2"/>
        </w:numPr>
      </w:pPr>
      <w:r>
        <w:t>On the “Diagnostics setting” blade, give the new diagnostic setting a name. Select all categories of log data and ensure that “</w:t>
      </w:r>
      <w:proofErr w:type="spellStart"/>
      <w:r>
        <w:t>AllMetrics</w:t>
      </w:r>
      <w:proofErr w:type="spellEnd"/>
      <w:r>
        <w:t xml:space="preserve">” is ticked. </w:t>
      </w:r>
    </w:p>
    <w:p w14:paraId="4A3B0D26" w14:textId="77777777" w:rsidR="00EA6940" w:rsidRDefault="00EA6940" w:rsidP="00EA6940">
      <w:pPr>
        <w:pStyle w:val="ListParagraph"/>
      </w:pPr>
    </w:p>
    <w:p w14:paraId="2204A6BB" w14:textId="3AD730F4" w:rsidR="00EA6940" w:rsidRDefault="00EA6940" w:rsidP="00B131F0">
      <w:pPr>
        <w:pStyle w:val="ListParagraph"/>
        <w:numPr>
          <w:ilvl w:val="0"/>
          <w:numId w:val="2"/>
        </w:numPr>
      </w:pPr>
      <w:r>
        <w:t>Tick “Send to Log Analytics”. Options appear to choose the Log Analytics workspace – select the one you created in Lab 6.1. Leave “Destination table” set to “Resource specific”, then</w:t>
      </w:r>
      <w:r w:rsidR="00BA6C5F">
        <w:t xml:space="preserve"> s</w:t>
      </w:r>
      <w:r>
        <w:t>ave your changes using the “Save” button in the top left.</w:t>
      </w:r>
    </w:p>
    <w:p w14:paraId="0A799E0A" w14:textId="77777777" w:rsidR="00EA6940" w:rsidRDefault="00EA6940" w:rsidP="00EA6940">
      <w:pPr>
        <w:pStyle w:val="ListParagraph"/>
      </w:pPr>
    </w:p>
    <w:p w14:paraId="09E3FD50" w14:textId="1FB13988" w:rsidR="00EA6940" w:rsidRDefault="00EA6940" w:rsidP="00EA6940">
      <w:pPr>
        <w:pStyle w:val="ListParagraph"/>
      </w:pPr>
      <w:r>
        <w:rPr>
          <w:noProof/>
        </w:rPr>
        <w:drawing>
          <wp:inline distT="0" distB="0" distL="0" distR="0" wp14:anchorId="7F928ABE" wp14:editId="5BA9C1A2">
            <wp:extent cx="5724525" cy="487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876800"/>
                    </a:xfrm>
                    <a:prstGeom prst="rect">
                      <a:avLst/>
                    </a:prstGeom>
                    <a:noFill/>
                    <a:ln>
                      <a:noFill/>
                    </a:ln>
                  </pic:spPr>
                </pic:pic>
              </a:graphicData>
            </a:graphic>
          </wp:inline>
        </w:drawing>
      </w:r>
    </w:p>
    <w:p w14:paraId="4404B439" w14:textId="50AA5DF8" w:rsidR="00EA6940" w:rsidRDefault="00EA6940" w:rsidP="00EA6940">
      <w:pPr>
        <w:pStyle w:val="Heading1"/>
      </w:pPr>
      <w:r>
        <w:t xml:space="preserve">Lab 6.3 </w:t>
      </w:r>
      <w:r w:rsidR="002D1809">
        <w:t>–</w:t>
      </w:r>
      <w:r>
        <w:t xml:space="preserve"> </w:t>
      </w:r>
      <w:r w:rsidR="002D1809">
        <w:t>Generate log data</w:t>
      </w:r>
    </w:p>
    <w:p w14:paraId="4D195C98" w14:textId="31D37AE4" w:rsidR="00B01472" w:rsidRDefault="002D1809" w:rsidP="00B01472">
      <w:r>
        <w:t xml:space="preserve">In previous labs you have mostly run pipelines using the “Debug” option in your ADF UX session. To </w:t>
      </w:r>
      <w:r w:rsidR="00B01472">
        <w:t xml:space="preserve">generate log data, run some pipelines in the published environment. We haven’t covered triggers – used to start pipelines automatically – in these labs, but you can </w:t>
      </w:r>
      <w:r w:rsidR="00BA6C5F">
        <w:t>run pipelines</w:t>
      </w:r>
      <w:r w:rsidR="00B01472">
        <w:t xml:space="preserve"> manually</w:t>
      </w:r>
      <w:r w:rsidR="00CE62BF">
        <w:t xml:space="preserve"> in the ADF UX.</w:t>
      </w:r>
      <w:r w:rsidR="00B01472">
        <w:t xml:space="preserve"> </w:t>
      </w:r>
    </w:p>
    <w:p w14:paraId="732DA652" w14:textId="4F2842C0" w:rsidR="00B01472" w:rsidRDefault="00B01472" w:rsidP="00B131F0">
      <w:pPr>
        <w:pStyle w:val="ListParagraph"/>
        <w:numPr>
          <w:ilvl w:val="0"/>
          <w:numId w:val="5"/>
        </w:numPr>
      </w:pPr>
      <w:r>
        <w:t>If your Azure Data Factory instance is Git-enabled, publish all your pipelines</w:t>
      </w:r>
      <w:r w:rsidR="00CE62BF">
        <w:t xml:space="preserve"> as you did in Lab 2.4.</w:t>
      </w:r>
      <w:r>
        <w:t xml:space="preserve"> (If your factory is not Git-enabled, you can skip this step – you have been publishing your pipelines repeatedly to save your work).</w:t>
      </w:r>
    </w:p>
    <w:p w14:paraId="5695AFFE" w14:textId="77777777" w:rsidR="00CE62BF" w:rsidRDefault="00CE62BF" w:rsidP="00CE62BF">
      <w:pPr>
        <w:pStyle w:val="ListParagraph"/>
      </w:pPr>
    </w:p>
    <w:p w14:paraId="05D4814B" w14:textId="77777777" w:rsidR="00CE62BF" w:rsidRDefault="00CE62BF" w:rsidP="00B131F0">
      <w:pPr>
        <w:pStyle w:val="ListParagraph"/>
        <w:numPr>
          <w:ilvl w:val="0"/>
          <w:numId w:val="5"/>
        </w:numPr>
      </w:pPr>
      <w:r>
        <w:t xml:space="preserve">Open a pipeline of your choice in the ADF UX. </w:t>
      </w:r>
    </w:p>
    <w:p w14:paraId="36C1E1AE" w14:textId="77777777" w:rsidR="00CE62BF" w:rsidRDefault="00CE62BF" w:rsidP="00CE62BF">
      <w:pPr>
        <w:pStyle w:val="ListParagraph"/>
      </w:pPr>
    </w:p>
    <w:p w14:paraId="2EA11B89" w14:textId="087E51D8" w:rsidR="00CE62BF" w:rsidRDefault="00CE62BF" w:rsidP="00B131F0">
      <w:pPr>
        <w:pStyle w:val="ListParagraph"/>
        <w:numPr>
          <w:ilvl w:val="0"/>
          <w:numId w:val="5"/>
        </w:numPr>
      </w:pPr>
      <w:r>
        <w:t>Click “Add trigger” above the pipeline canvas and select “Trigger now”. A confirmation blade is displayed – click OK to trigger the published pipeline.</w:t>
      </w:r>
    </w:p>
    <w:p w14:paraId="40F3498B" w14:textId="77777777" w:rsidR="00CE62BF" w:rsidRDefault="00CE62BF" w:rsidP="00CE62BF">
      <w:pPr>
        <w:pStyle w:val="ListParagraph"/>
      </w:pPr>
    </w:p>
    <w:p w14:paraId="2EFCA8BF" w14:textId="7E14CB83" w:rsidR="00B01472" w:rsidRDefault="00CE62BF" w:rsidP="00B131F0">
      <w:pPr>
        <w:pStyle w:val="ListParagraph"/>
        <w:numPr>
          <w:ilvl w:val="0"/>
          <w:numId w:val="5"/>
        </w:numPr>
      </w:pPr>
      <w:r>
        <w:t>Repeat steps 2 and 3 a few times for different pipelines.</w:t>
      </w:r>
    </w:p>
    <w:p w14:paraId="3C7DD144" w14:textId="4F481D50" w:rsidR="00B01472" w:rsidRDefault="00CE62BF" w:rsidP="00CE62BF">
      <w:r>
        <w:lastRenderedPageBreak/>
        <w:t xml:space="preserve">The purpose of running these pipelines is just to accumulate log data – in a production data factory instance </w:t>
      </w:r>
      <w:r w:rsidR="00BA6C5F">
        <w:t>log data is</w:t>
      </w:r>
      <w:r>
        <w:t xml:space="preserve"> generated organically from routine pipeline runs.</w:t>
      </w:r>
    </w:p>
    <w:p w14:paraId="0286BE44" w14:textId="37159DA4" w:rsidR="00CE62BF" w:rsidRDefault="00CE62BF" w:rsidP="00E1117F">
      <w:pPr>
        <w:pStyle w:val="Heading1"/>
      </w:pPr>
      <w:r>
        <w:t>Lab 6.4 – Use the ADF UX monitoring experience</w:t>
      </w:r>
    </w:p>
    <w:p w14:paraId="534D706C" w14:textId="29BCBC3E" w:rsidR="00E1117F" w:rsidRPr="00E1117F" w:rsidRDefault="00E1117F" w:rsidP="00E1117F">
      <w:r>
        <w:t>The ADF UX monitoring experience allows you to inspect pipeline run history visually.</w:t>
      </w:r>
    </w:p>
    <w:p w14:paraId="5CA16BBC" w14:textId="38DF48A6" w:rsidR="00AC3BF0" w:rsidRDefault="00CE62BF" w:rsidP="00B131F0">
      <w:pPr>
        <w:pStyle w:val="ListParagraph"/>
        <w:numPr>
          <w:ilvl w:val="0"/>
          <w:numId w:val="1"/>
        </w:numPr>
      </w:pPr>
      <w:r>
        <w:t xml:space="preserve">Open the monitoring experience in the ADF UX by clicking the </w:t>
      </w:r>
      <w:r w:rsidR="00BA6C5F">
        <w:t>Monitor button</w:t>
      </w:r>
      <w:r>
        <w:t>. Select “</w:t>
      </w:r>
      <w:r w:rsidR="00AC3BF0">
        <w:t>Pipeline runs</w:t>
      </w:r>
      <w:r>
        <w:t>” from the menu</w:t>
      </w:r>
      <w:r w:rsidR="00AC3BF0">
        <w:t xml:space="preserve"> then choose the “Triggered” tab to view published pipeline runs.</w:t>
      </w:r>
    </w:p>
    <w:p w14:paraId="3F996231" w14:textId="02B42201" w:rsidR="00AC3BF0" w:rsidRDefault="00AC3BF0" w:rsidP="00AC3BF0">
      <w:pPr>
        <w:ind w:firstLine="720"/>
      </w:pPr>
      <w:r>
        <w:rPr>
          <w:noProof/>
        </w:rPr>
        <w:drawing>
          <wp:inline distT="0" distB="0" distL="0" distR="0" wp14:anchorId="579687E4" wp14:editId="1C0337EB">
            <wp:extent cx="5731510" cy="20923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3FE654C5" w14:textId="77777777" w:rsidR="00BA6C5F" w:rsidRDefault="00BA6C5F" w:rsidP="00BA6C5F">
      <w:pPr>
        <w:pStyle w:val="ListParagraph"/>
      </w:pPr>
    </w:p>
    <w:p w14:paraId="53892D8B" w14:textId="698574FF" w:rsidR="00AC3BF0" w:rsidRDefault="005B39DE" w:rsidP="00B131F0">
      <w:pPr>
        <w:pStyle w:val="ListParagraph"/>
        <w:numPr>
          <w:ilvl w:val="0"/>
          <w:numId w:val="1"/>
        </w:numPr>
      </w:pPr>
      <w:r>
        <w:t>Explore information reported in the pipeline run list</w:t>
      </w:r>
      <w:r w:rsidR="00BA6C5F">
        <w:t>. It includes:</w:t>
      </w:r>
    </w:p>
    <w:p w14:paraId="4040434D" w14:textId="0AAB30E3" w:rsidR="008F24B8" w:rsidRDefault="008F24B8" w:rsidP="00B131F0">
      <w:pPr>
        <w:pStyle w:val="ListParagraph"/>
        <w:numPr>
          <w:ilvl w:val="1"/>
          <w:numId w:val="1"/>
        </w:numPr>
      </w:pPr>
      <w:r>
        <w:t>Pipeline name, run ID and start &amp; end times</w:t>
      </w:r>
      <w:r w:rsidR="00E62504">
        <w:t xml:space="preserve">. </w:t>
      </w:r>
    </w:p>
    <w:p w14:paraId="56879DB6" w14:textId="3DDF72B4" w:rsidR="00AC3BF0" w:rsidRDefault="00AC3BF0" w:rsidP="00B131F0">
      <w:pPr>
        <w:pStyle w:val="ListParagraph"/>
        <w:numPr>
          <w:ilvl w:val="1"/>
          <w:numId w:val="1"/>
        </w:numPr>
      </w:pPr>
      <w:r>
        <w:t>Pipeline run status. For failed runs, the speech bubble icon in the “Error” column provides failure information.</w:t>
      </w:r>
    </w:p>
    <w:p w14:paraId="3BE0E5DF" w14:textId="03667D1D" w:rsidR="008F24B8" w:rsidRDefault="005B39DE" w:rsidP="00B131F0">
      <w:pPr>
        <w:pStyle w:val="ListParagraph"/>
        <w:numPr>
          <w:ilvl w:val="1"/>
          <w:numId w:val="1"/>
        </w:numPr>
      </w:pPr>
      <w:r>
        <w:t xml:space="preserve">How the pipeline was triggered – in the screenshot, you can see pipelines triggered directly from the ADF UX, and the </w:t>
      </w:r>
      <w:proofErr w:type="spellStart"/>
      <w:r>
        <w:t>CopyAnyTable</w:t>
      </w:r>
      <w:proofErr w:type="spellEnd"/>
      <w:r>
        <w:t xml:space="preserve"> pipeline (from Lab 5.3) triggered by an Execute Pipeline activity run in the </w:t>
      </w:r>
      <w:proofErr w:type="spellStart"/>
      <w:r>
        <w:t>CopyAdventureWorks</w:t>
      </w:r>
      <w:proofErr w:type="spellEnd"/>
      <w:r>
        <w:t xml:space="preserve"> pipeline. Parameter values passed to each </w:t>
      </w:r>
      <w:proofErr w:type="spellStart"/>
      <w:r>
        <w:t>CopyAnyTable</w:t>
      </w:r>
      <w:proofErr w:type="spellEnd"/>
      <w:r>
        <w:t xml:space="preserve"> run can be inspected using the [@] link.</w:t>
      </w:r>
    </w:p>
    <w:p w14:paraId="62620BC9" w14:textId="77777777" w:rsidR="00E62504" w:rsidRDefault="00E62504" w:rsidP="00E62504">
      <w:pPr>
        <w:pStyle w:val="ListParagraph"/>
      </w:pPr>
    </w:p>
    <w:p w14:paraId="4FA6A95A" w14:textId="0DEFB259" w:rsidR="00625B20" w:rsidRDefault="00E62504" w:rsidP="00B131F0">
      <w:pPr>
        <w:pStyle w:val="ListParagraph"/>
        <w:numPr>
          <w:ilvl w:val="0"/>
          <w:numId w:val="1"/>
        </w:numPr>
      </w:pPr>
      <w:r>
        <w:t xml:space="preserve">Hover over a pipeline name’s name in the list – “Rerun” and “Consumption” buttons appear. Click on “Consumption” to </w:t>
      </w:r>
      <w:r w:rsidR="00625B20">
        <w:t>view resources used by the pipeline’s execution.</w:t>
      </w:r>
      <w:r w:rsidR="00187E9B">
        <w:t xml:space="preserve"> </w:t>
      </w:r>
      <w:r w:rsidR="00625B20">
        <w:t>The pipeline’s name is a link – click on the link to view activity run information, presented in a very similar way to the debug output you see in the authoring canvas.</w:t>
      </w:r>
    </w:p>
    <w:p w14:paraId="706E8895" w14:textId="77777777" w:rsidR="00625B20" w:rsidRDefault="00625B20" w:rsidP="00625B20">
      <w:pPr>
        <w:pStyle w:val="ListParagraph"/>
      </w:pPr>
    </w:p>
    <w:p w14:paraId="060C7CBD" w14:textId="77777777" w:rsidR="00625B20" w:rsidRDefault="00625B20" w:rsidP="00B131F0">
      <w:pPr>
        <w:pStyle w:val="ListParagraph"/>
        <w:numPr>
          <w:ilvl w:val="0"/>
          <w:numId w:val="1"/>
        </w:numPr>
      </w:pPr>
      <w:r>
        <w:t>In the top right, move the slider from “List” to “Gantt”. The Gantt chart view provides much of the same information, displaying pipeline run duration against time. Click on a bar in the Gantt chart to view detail of the pipeline’s execution.</w:t>
      </w:r>
    </w:p>
    <w:p w14:paraId="281A016E" w14:textId="77777777" w:rsidR="00625B20" w:rsidRDefault="00625B20" w:rsidP="00625B20">
      <w:pPr>
        <w:pStyle w:val="ListParagraph"/>
      </w:pPr>
    </w:p>
    <w:p w14:paraId="6E1D2DAF" w14:textId="451E5E6C" w:rsidR="00625B20" w:rsidRDefault="00625B20" w:rsidP="00625B20">
      <w:pPr>
        <w:pStyle w:val="ListParagraph"/>
      </w:pPr>
      <w:r>
        <w:rPr>
          <w:noProof/>
        </w:rPr>
        <w:lastRenderedPageBreak/>
        <w:drawing>
          <wp:inline distT="0" distB="0" distL="0" distR="0" wp14:anchorId="6C960912" wp14:editId="5CE12A3D">
            <wp:extent cx="5715000" cy="2224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224405"/>
                    </a:xfrm>
                    <a:prstGeom prst="rect">
                      <a:avLst/>
                    </a:prstGeom>
                    <a:noFill/>
                    <a:ln>
                      <a:noFill/>
                    </a:ln>
                  </pic:spPr>
                </pic:pic>
              </a:graphicData>
            </a:graphic>
          </wp:inline>
        </w:drawing>
      </w:r>
      <w:r>
        <w:t xml:space="preserve"> </w:t>
      </w:r>
    </w:p>
    <w:p w14:paraId="4A92182E" w14:textId="3D51BE7D" w:rsidR="00CE62BF" w:rsidRDefault="00E1117F" w:rsidP="00E1117F">
      <w:pPr>
        <w:pStyle w:val="Heading1"/>
      </w:pPr>
      <w:r>
        <w:t>Lab 6.5 – Query Log Analytics data</w:t>
      </w:r>
    </w:p>
    <w:p w14:paraId="04058A2B" w14:textId="5D8A82CA" w:rsidR="00E1117F" w:rsidRPr="00CE62BF" w:rsidRDefault="00E1117F" w:rsidP="00E1117F">
      <w:r>
        <w:t xml:space="preserve">Pipeline execution data from Lab 6.3 has also been pushed to Log Analytics because of the diagnostic setting you created in Lab 6.2. </w:t>
      </w:r>
    </w:p>
    <w:p w14:paraId="523F73FA" w14:textId="72BE4704" w:rsidR="00CE62BF" w:rsidRDefault="00E1117F" w:rsidP="00B131F0">
      <w:pPr>
        <w:pStyle w:val="ListParagraph"/>
        <w:numPr>
          <w:ilvl w:val="0"/>
          <w:numId w:val="6"/>
        </w:numPr>
      </w:pPr>
      <w:r>
        <w:t>Open your Log Analytics workspace in the Azure portal and select the “Logs” item from the sidebar. Close any example query dialog that appears. A query interface is displayed.</w:t>
      </w:r>
      <w:r w:rsidR="00BF1484">
        <w:t xml:space="preserve"> Collapse the portal sidebar if you need more space.</w:t>
      </w:r>
    </w:p>
    <w:p w14:paraId="3BA2BB80" w14:textId="0F85D44D" w:rsidR="00E1117F" w:rsidRDefault="00E1117F" w:rsidP="00BF1484">
      <w:pPr>
        <w:ind w:firstLine="720"/>
      </w:pPr>
      <w:r>
        <w:rPr>
          <w:noProof/>
        </w:rPr>
        <w:drawing>
          <wp:inline distT="0" distB="0" distL="0" distR="0" wp14:anchorId="4E223664" wp14:editId="7EE0C22A">
            <wp:extent cx="5724525" cy="290703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907030"/>
                    </a:xfrm>
                    <a:prstGeom prst="rect">
                      <a:avLst/>
                    </a:prstGeom>
                    <a:noFill/>
                    <a:ln>
                      <a:noFill/>
                    </a:ln>
                  </pic:spPr>
                </pic:pic>
              </a:graphicData>
            </a:graphic>
          </wp:inline>
        </w:drawing>
      </w:r>
    </w:p>
    <w:p w14:paraId="734BA0DE" w14:textId="77777777" w:rsidR="00E1117F" w:rsidRDefault="00E1117F" w:rsidP="00E1117F">
      <w:pPr>
        <w:pStyle w:val="ListParagraph"/>
      </w:pPr>
    </w:p>
    <w:p w14:paraId="6874249E" w14:textId="65B6A708" w:rsidR="00CE62BF" w:rsidRDefault="00BF1484" w:rsidP="00B131F0">
      <w:pPr>
        <w:pStyle w:val="ListParagraph"/>
        <w:numPr>
          <w:ilvl w:val="0"/>
          <w:numId w:val="6"/>
        </w:numPr>
      </w:pPr>
      <w:r>
        <w:t xml:space="preserve">The query interface includes a list of tables and a query pane. Double-click on the </w:t>
      </w:r>
      <w:r w:rsidR="00BA6C5F">
        <w:t>“</w:t>
      </w:r>
      <w:proofErr w:type="spellStart"/>
      <w:r>
        <w:t>ADFPipelineRun</w:t>
      </w:r>
      <w:proofErr w:type="spellEnd"/>
      <w:r w:rsidR="00BA6C5F">
        <w:t>”</w:t>
      </w:r>
      <w:r>
        <w:t xml:space="preserve"> table name to add it to the query pane.</w:t>
      </w:r>
    </w:p>
    <w:p w14:paraId="123360E2" w14:textId="77777777" w:rsidR="00BF1484" w:rsidRDefault="00BF1484" w:rsidP="00BF1484">
      <w:pPr>
        <w:pStyle w:val="ListParagraph"/>
      </w:pPr>
    </w:p>
    <w:p w14:paraId="2B242DB6" w14:textId="0B03BBDF" w:rsidR="00BF1484" w:rsidRDefault="00BF1484" w:rsidP="00B131F0">
      <w:pPr>
        <w:pStyle w:val="ListParagraph"/>
        <w:numPr>
          <w:ilvl w:val="0"/>
          <w:numId w:val="6"/>
        </w:numPr>
      </w:pPr>
      <w:r>
        <w:t xml:space="preserve">Log Analytics queries are written in Kusto. The table name on its own is a valid Kusto query – it means “select everything from table </w:t>
      </w:r>
      <w:proofErr w:type="spellStart"/>
      <w:r>
        <w:t>AdfPipelineRun</w:t>
      </w:r>
      <w:proofErr w:type="spellEnd"/>
      <w:r>
        <w:t xml:space="preserve">”. </w:t>
      </w:r>
      <w:r w:rsidR="00D61437">
        <w:t>Click “Run” to r</w:t>
      </w:r>
      <w:r>
        <w:t>un the query.</w:t>
      </w:r>
    </w:p>
    <w:p w14:paraId="6FF92005" w14:textId="77777777" w:rsidR="00D61437" w:rsidRDefault="00D61437" w:rsidP="00D61437">
      <w:pPr>
        <w:pStyle w:val="ListParagraph"/>
      </w:pPr>
    </w:p>
    <w:p w14:paraId="1D01FAA4" w14:textId="2B32DB6A" w:rsidR="00D61437" w:rsidRDefault="00D61437" w:rsidP="00D61437">
      <w:pPr>
        <w:pStyle w:val="ListParagraph"/>
      </w:pPr>
      <w:r>
        <w:rPr>
          <w:noProof/>
        </w:rPr>
        <w:lastRenderedPageBreak/>
        <w:drawing>
          <wp:inline distT="0" distB="0" distL="0" distR="0" wp14:anchorId="5713B526" wp14:editId="19B466C0">
            <wp:extent cx="5724525" cy="295148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951480"/>
                    </a:xfrm>
                    <a:prstGeom prst="rect">
                      <a:avLst/>
                    </a:prstGeom>
                    <a:noFill/>
                    <a:ln>
                      <a:noFill/>
                    </a:ln>
                  </pic:spPr>
                </pic:pic>
              </a:graphicData>
            </a:graphic>
          </wp:inline>
        </w:drawing>
      </w:r>
    </w:p>
    <w:p w14:paraId="5F1A9E46" w14:textId="77777777" w:rsidR="00BA6C5F" w:rsidRDefault="00BA6C5F" w:rsidP="00BA6C5F">
      <w:pPr>
        <w:pStyle w:val="ListParagraph"/>
      </w:pPr>
    </w:p>
    <w:p w14:paraId="0A2E6806" w14:textId="560A2AD9" w:rsidR="00BF1484" w:rsidRDefault="00BF1484" w:rsidP="00B131F0">
      <w:pPr>
        <w:pStyle w:val="ListParagraph"/>
        <w:numPr>
          <w:ilvl w:val="0"/>
          <w:numId w:val="6"/>
        </w:numPr>
      </w:pPr>
      <w:r>
        <w:t>This Kusto query identifies the ten most recent failed pipeline runs:</w:t>
      </w:r>
    </w:p>
    <w:p w14:paraId="26522762"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proofErr w:type="spellStart"/>
      <w:r w:rsidRPr="00BF1484">
        <w:rPr>
          <w:rFonts w:ascii="Consolas" w:eastAsia="Times New Roman" w:hAnsi="Consolas" w:cs="Times New Roman"/>
          <w:color w:val="000000"/>
          <w:sz w:val="18"/>
          <w:szCs w:val="18"/>
          <w:lang w:eastAsia="en-GB"/>
        </w:rPr>
        <w:t>ADFPipelineRun</w:t>
      </w:r>
      <w:proofErr w:type="spellEnd"/>
      <w:r w:rsidRPr="00BF1484">
        <w:rPr>
          <w:rFonts w:ascii="Consolas" w:eastAsia="Times New Roman" w:hAnsi="Consolas" w:cs="Times New Roman"/>
          <w:color w:val="000000"/>
          <w:sz w:val="18"/>
          <w:szCs w:val="18"/>
          <w:lang w:eastAsia="en-GB"/>
        </w:rPr>
        <w:t xml:space="preserve"> </w:t>
      </w:r>
    </w:p>
    <w:p w14:paraId="38BD97F8"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where</w:t>
      </w:r>
      <w:r w:rsidRPr="00BF1484">
        <w:rPr>
          <w:rFonts w:ascii="Consolas" w:eastAsia="Times New Roman" w:hAnsi="Consolas" w:cs="Times New Roman"/>
          <w:color w:val="000000"/>
          <w:sz w:val="18"/>
          <w:szCs w:val="18"/>
          <w:lang w:eastAsia="en-GB"/>
        </w:rPr>
        <w:t xml:space="preserve"> Status == </w:t>
      </w:r>
      <w:r w:rsidRPr="00BF1484">
        <w:rPr>
          <w:rFonts w:ascii="Consolas" w:eastAsia="Times New Roman" w:hAnsi="Consolas" w:cs="Times New Roman"/>
          <w:color w:val="A31515"/>
          <w:sz w:val="18"/>
          <w:szCs w:val="18"/>
          <w:lang w:eastAsia="en-GB"/>
        </w:rPr>
        <w:t>'Failed'</w:t>
      </w:r>
    </w:p>
    <w:p w14:paraId="5C7BD5DD"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project</w:t>
      </w:r>
      <w:r w:rsidRPr="00BF1484">
        <w:rPr>
          <w:rFonts w:ascii="Consolas" w:eastAsia="Times New Roman" w:hAnsi="Consolas" w:cs="Times New Roman"/>
          <w:color w:val="000000"/>
          <w:sz w:val="18"/>
          <w:szCs w:val="18"/>
          <w:lang w:eastAsia="en-GB"/>
        </w:rPr>
        <w:t xml:space="preserve"> </w:t>
      </w:r>
      <w:proofErr w:type="spellStart"/>
      <w:r w:rsidRPr="00BF1484">
        <w:rPr>
          <w:rFonts w:ascii="Consolas" w:eastAsia="Times New Roman" w:hAnsi="Consolas" w:cs="Times New Roman"/>
          <w:color w:val="000000"/>
          <w:sz w:val="18"/>
          <w:szCs w:val="18"/>
          <w:lang w:eastAsia="en-GB"/>
        </w:rPr>
        <w:t>PipelineName</w:t>
      </w:r>
      <w:proofErr w:type="spellEnd"/>
      <w:r w:rsidRPr="00BF1484">
        <w:rPr>
          <w:rFonts w:ascii="Consolas" w:eastAsia="Times New Roman" w:hAnsi="Consolas" w:cs="Times New Roman"/>
          <w:color w:val="000000"/>
          <w:sz w:val="18"/>
          <w:szCs w:val="18"/>
          <w:lang w:eastAsia="en-GB"/>
        </w:rPr>
        <w:t>, End</w:t>
      </w:r>
    </w:p>
    <w:p w14:paraId="15C87826"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order</w:t>
      </w:r>
      <w:r w:rsidRPr="00BF1484">
        <w:rPr>
          <w:rFonts w:ascii="Consolas" w:eastAsia="Times New Roman" w:hAnsi="Consolas" w:cs="Times New Roman"/>
          <w:color w:val="000000"/>
          <w:sz w:val="18"/>
          <w:szCs w:val="18"/>
          <w:lang w:eastAsia="en-GB"/>
        </w:rPr>
        <w:t xml:space="preserve"> </w:t>
      </w:r>
      <w:r w:rsidRPr="00BF1484">
        <w:rPr>
          <w:rFonts w:ascii="Consolas" w:eastAsia="Times New Roman" w:hAnsi="Consolas" w:cs="Times New Roman"/>
          <w:color w:val="0000FF"/>
          <w:sz w:val="18"/>
          <w:szCs w:val="18"/>
          <w:lang w:eastAsia="en-GB"/>
        </w:rPr>
        <w:t>by</w:t>
      </w:r>
      <w:r w:rsidRPr="00BF1484">
        <w:rPr>
          <w:rFonts w:ascii="Consolas" w:eastAsia="Times New Roman" w:hAnsi="Consolas" w:cs="Times New Roman"/>
          <w:color w:val="000000"/>
          <w:sz w:val="18"/>
          <w:szCs w:val="18"/>
          <w:lang w:eastAsia="en-GB"/>
        </w:rPr>
        <w:t xml:space="preserve"> End </w:t>
      </w:r>
      <w:proofErr w:type="spellStart"/>
      <w:r w:rsidRPr="00BF1484">
        <w:rPr>
          <w:rFonts w:ascii="Consolas" w:eastAsia="Times New Roman" w:hAnsi="Consolas" w:cs="Times New Roman"/>
          <w:color w:val="000000"/>
          <w:sz w:val="18"/>
          <w:szCs w:val="18"/>
          <w:lang w:eastAsia="en-GB"/>
        </w:rPr>
        <w:t>desc</w:t>
      </w:r>
      <w:proofErr w:type="spellEnd"/>
    </w:p>
    <w:p w14:paraId="5FA932F5" w14:textId="2C5096A2" w:rsid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limit</w:t>
      </w:r>
      <w:r w:rsidRPr="00BF1484">
        <w:rPr>
          <w:rFonts w:ascii="Consolas" w:eastAsia="Times New Roman" w:hAnsi="Consolas" w:cs="Times New Roman"/>
          <w:color w:val="000000"/>
          <w:sz w:val="18"/>
          <w:szCs w:val="18"/>
          <w:lang w:eastAsia="en-GB"/>
        </w:rPr>
        <w:t xml:space="preserve"> </w:t>
      </w:r>
      <w:r w:rsidRPr="00BF1484">
        <w:rPr>
          <w:rFonts w:ascii="Consolas" w:eastAsia="Times New Roman" w:hAnsi="Consolas" w:cs="Times New Roman"/>
          <w:color w:val="09885A"/>
          <w:sz w:val="18"/>
          <w:szCs w:val="18"/>
          <w:lang w:eastAsia="en-GB"/>
        </w:rPr>
        <w:t>1</w:t>
      </w:r>
      <w:r w:rsidRPr="00BF1484">
        <w:rPr>
          <w:rFonts w:ascii="Consolas" w:eastAsia="Times New Roman" w:hAnsi="Consolas" w:cs="Times New Roman"/>
          <w:color w:val="000000"/>
          <w:sz w:val="18"/>
          <w:szCs w:val="18"/>
          <w:lang w:eastAsia="en-GB"/>
        </w:rPr>
        <w:t xml:space="preserve"> </w:t>
      </w:r>
    </w:p>
    <w:p w14:paraId="2AAF88D0" w14:textId="77777777" w:rsidR="00BF1484" w:rsidRDefault="00BF1484" w:rsidP="00BF1484">
      <w:pPr>
        <w:shd w:val="clear" w:color="auto" w:fill="FFFFFE"/>
        <w:spacing w:after="0" w:line="240" w:lineRule="atLeast"/>
        <w:ind w:left="720"/>
      </w:pPr>
    </w:p>
    <w:p w14:paraId="2714BB62" w14:textId="66E46159" w:rsidR="00BF1484" w:rsidRDefault="00BF1484" w:rsidP="00D61437">
      <w:pPr>
        <w:ind w:left="720"/>
      </w:pPr>
      <w:r>
        <w:t xml:space="preserve">Run this or other queries to explore the logged data. The query pane provides </w:t>
      </w:r>
      <w:proofErr w:type="spellStart"/>
      <w:r w:rsidR="00D61437">
        <w:t>intellisense</w:t>
      </w:r>
      <w:proofErr w:type="spellEnd"/>
      <w:r w:rsidR="00D61437">
        <w:t xml:space="preserve"> options to help you get started quickly.</w:t>
      </w:r>
    </w:p>
    <w:p w14:paraId="2A51A011" w14:textId="1855CF40" w:rsidR="00D61437" w:rsidRDefault="00D61437" w:rsidP="00D61437">
      <w:pPr>
        <w:pStyle w:val="Heading1"/>
      </w:pPr>
      <w:r>
        <w:t xml:space="preserve">Lab 6.6 – </w:t>
      </w:r>
      <w:r w:rsidR="00FF1B02">
        <w:t>Use</w:t>
      </w:r>
      <w:r>
        <w:t xml:space="preserve"> Log Analytics </w:t>
      </w:r>
      <w:r w:rsidR="00FF1B02">
        <w:t>workbooks</w:t>
      </w:r>
    </w:p>
    <w:p w14:paraId="6A60C01C" w14:textId="2182D604" w:rsidR="00D61437" w:rsidRDefault="00FF1B02" w:rsidP="00D61437">
      <w:r>
        <w:t>Using Log Analytics for ADF reporting has a number of advantages, for example log retention beyond ADF’s 45-day maximum, the ability to integrate ADF log</w:t>
      </w:r>
      <w:r w:rsidR="00BA6C5F">
        <w:t xml:space="preserve"> data</w:t>
      </w:r>
      <w:r>
        <w:t xml:space="preserve"> with</w:t>
      </w:r>
      <w:r w:rsidR="00BA6C5F">
        <w:t xml:space="preserve"> logs from</w:t>
      </w:r>
      <w:r>
        <w:t xml:space="preserve"> other Azure services or access to enhanced query support using Kusto. Another advantage is Log Analytics’ in-built visualisation support using workbooks. A quick way to get started is with the “Azure Data Factory Analytics” solution available from the Azure Marketplace.</w:t>
      </w:r>
    </w:p>
    <w:p w14:paraId="3E915AE4" w14:textId="478DFD6F" w:rsidR="00D61437" w:rsidRDefault="00D61437" w:rsidP="006242F5">
      <w:pPr>
        <w:pStyle w:val="ListParagraph"/>
        <w:numPr>
          <w:ilvl w:val="0"/>
          <w:numId w:val="7"/>
        </w:numPr>
      </w:pPr>
      <w:r>
        <w:t xml:space="preserve">Browse to the </w:t>
      </w:r>
      <w:hyperlink r:id="rId17" w:history="1">
        <w:r w:rsidR="006242F5" w:rsidRPr="006242F5">
          <w:rPr>
            <w:rStyle w:val="Hyperlink"/>
          </w:rPr>
          <w:t>Azure Data Factory Management Solution Service Pack</w:t>
        </w:r>
      </w:hyperlink>
      <w:r w:rsidR="006242F5">
        <w:t xml:space="preserve"> in the </w:t>
      </w:r>
      <w:r>
        <w:t>Azure Marketplace</w:t>
      </w:r>
      <w:r w:rsidR="006242F5">
        <w:t>. C</w:t>
      </w:r>
      <w:r>
        <w:t>lick “GET IT NOW”</w:t>
      </w:r>
      <w:r w:rsidR="006242F5">
        <w:t>, then c</w:t>
      </w:r>
      <w:r>
        <w:t>lick “Continue” to accept T&amp;Cs.</w:t>
      </w:r>
    </w:p>
    <w:p w14:paraId="74362687" w14:textId="77777777" w:rsidR="00D61437" w:rsidRDefault="00D61437" w:rsidP="00D61437">
      <w:pPr>
        <w:pStyle w:val="ListParagraph"/>
      </w:pPr>
    </w:p>
    <w:p w14:paraId="0481006B" w14:textId="53A32BCF" w:rsidR="00152253" w:rsidRDefault="00D61437" w:rsidP="00B131F0">
      <w:pPr>
        <w:pStyle w:val="ListParagraph"/>
        <w:numPr>
          <w:ilvl w:val="0"/>
          <w:numId w:val="7"/>
        </w:numPr>
      </w:pPr>
      <w:r>
        <w:t xml:space="preserve">A “Create new solution” page opens in the Azure portal. </w:t>
      </w:r>
      <w:r w:rsidR="00152253">
        <w:t>If your Log Analytics workspace is not pre-selected, click “Log Analytics Workspace” and choose it from the list. Click “Create”.</w:t>
      </w:r>
    </w:p>
    <w:p w14:paraId="348F5052" w14:textId="77777777" w:rsidR="00152253" w:rsidRDefault="00152253" w:rsidP="00152253">
      <w:pPr>
        <w:pStyle w:val="ListParagraph"/>
      </w:pPr>
    </w:p>
    <w:p w14:paraId="35D48216" w14:textId="742A306A" w:rsidR="00152253" w:rsidRDefault="00152253" w:rsidP="00152253">
      <w:pPr>
        <w:pStyle w:val="ListParagraph"/>
      </w:pPr>
      <w:r>
        <w:rPr>
          <w:noProof/>
        </w:rPr>
        <w:lastRenderedPageBreak/>
        <w:drawing>
          <wp:inline distT="0" distB="0" distL="0" distR="0" wp14:anchorId="20EFAF3E" wp14:editId="473916BD">
            <wp:extent cx="5724525" cy="2044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044700"/>
                    </a:xfrm>
                    <a:prstGeom prst="rect">
                      <a:avLst/>
                    </a:prstGeom>
                    <a:noFill/>
                    <a:ln>
                      <a:noFill/>
                    </a:ln>
                  </pic:spPr>
                </pic:pic>
              </a:graphicData>
            </a:graphic>
          </wp:inline>
        </w:drawing>
      </w:r>
    </w:p>
    <w:p w14:paraId="4E978D4E" w14:textId="58B8ADAD" w:rsidR="00BF1484" w:rsidRDefault="00152253" w:rsidP="00B131F0">
      <w:pPr>
        <w:pStyle w:val="ListParagraph"/>
        <w:numPr>
          <w:ilvl w:val="0"/>
          <w:numId w:val="7"/>
        </w:numPr>
      </w:pPr>
      <w:r>
        <w:t>When confirmation of deployment is displayed, click “Go to resource”. If you don’t see the notification, you can find the solution using the “Solutions” item in the Log Analytics workspace blade.</w:t>
      </w:r>
    </w:p>
    <w:p w14:paraId="3FEBB1D2" w14:textId="77777777" w:rsidR="00891DCE" w:rsidRDefault="00891DCE" w:rsidP="00891DCE">
      <w:pPr>
        <w:pStyle w:val="ListParagraph"/>
      </w:pPr>
    </w:p>
    <w:p w14:paraId="22E8D178" w14:textId="049F8865" w:rsidR="00891DCE" w:rsidRDefault="00891DCE" w:rsidP="00B131F0">
      <w:pPr>
        <w:pStyle w:val="ListParagraph"/>
        <w:numPr>
          <w:ilvl w:val="0"/>
          <w:numId w:val="7"/>
        </w:numPr>
      </w:pPr>
      <w:r>
        <w:t>On the “</w:t>
      </w:r>
      <w:proofErr w:type="spellStart"/>
      <w:r w:rsidRPr="00891DCE">
        <w:t>AzureDataFactoryAnalytics</w:t>
      </w:r>
      <w:proofErr w:type="spellEnd"/>
      <w:r>
        <w:t>” blade, select “Workbooks” from the sidebar then click the “</w:t>
      </w:r>
      <w:proofErr w:type="spellStart"/>
      <w:r w:rsidRPr="00891DCE">
        <w:t>AzureDataFactoryAnalytics</w:t>
      </w:r>
      <w:proofErr w:type="spellEnd"/>
      <w:r>
        <w:t>” tile.</w:t>
      </w:r>
    </w:p>
    <w:p w14:paraId="789D7245" w14:textId="77777777" w:rsidR="00891DCE" w:rsidRDefault="00891DCE" w:rsidP="00891DCE">
      <w:pPr>
        <w:pStyle w:val="ListParagraph"/>
      </w:pPr>
    </w:p>
    <w:p w14:paraId="77404B80" w14:textId="15B4AE8C" w:rsidR="00891DCE" w:rsidRDefault="00891DCE" w:rsidP="00891DCE">
      <w:pPr>
        <w:pStyle w:val="ListParagraph"/>
      </w:pPr>
      <w:r>
        <w:rPr>
          <w:noProof/>
        </w:rPr>
        <w:drawing>
          <wp:inline distT="0" distB="0" distL="0" distR="0" wp14:anchorId="1353FF2E" wp14:editId="23738C07">
            <wp:extent cx="5724525" cy="289941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99410"/>
                    </a:xfrm>
                    <a:prstGeom prst="rect">
                      <a:avLst/>
                    </a:prstGeom>
                    <a:noFill/>
                    <a:ln>
                      <a:noFill/>
                    </a:ln>
                  </pic:spPr>
                </pic:pic>
              </a:graphicData>
            </a:graphic>
          </wp:inline>
        </w:drawing>
      </w:r>
    </w:p>
    <w:p w14:paraId="38D36654" w14:textId="77777777" w:rsidR="000C7C0D" w:rsidRDefault="000C7C0D" w:rsidP="000C7C0D">
      <w:pPr>
        <w:pStyle w:val="ListParagraph"/>
      </w:pPr>
    </w:p>
    <w:p w14:paraId="4F98E41C" w14:textId="1182C6FF" w:rsidR="00891DCE" w:rsidRDefault="000C7C0D" w:rsidP="00B131F0">
      <w:pPr>
        <w:pStyle w:val="ListParagraph"/>
        <w:numPr>
          <w:ilvl w:val="0"/>
          <w:numId w:val="7"/>
        </w:numPr>
      </w:pPr>
      <w:r>
        <w:t>Once installed, you can edit the Workbook as you wish. Here I have reduced the default size of the pie chart and filtered out “Queued” entries from the list of statuses reported from Log Analytics.</w:t>
      </w:r>
    </w:p>
    <w:p w14:paraId="050D518D" w14:textId="77777777" w:rsidR="000C7C0D" w:rsidRDefault="000C7C0D" w:rsidP="000C7C0D">
      <w:pPr>
        <w:pStyle w:val="ListParagraph"/>
      </w:pPr>
    </w:p>
    <w:p w14:paraId="399CE826" w14:textId="335929CD" w:rsidR="000C7C0D" w:rsidRDefault="000C7C0D" w:rsidP="000C7C0D">
      <w:pPr>
        <w:pStyle w:val="ListParagraph"/>
      </w:pPr>
      <w:r>
        <w:rPr>
          <w:noProof/>
        </w:rPr>
        <w:lastRenderedPageBreak/>
        <w:drawing>
          <wp:inline distT="0" distB="0" distL="0" distR="0" wp14:anchorId="1DB6BBA0" wp14:editId="50EBE3FF">
            <wp:extent cx="5731510" cy="37299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p w14:paraId="7EA57459" w14:textId="2C6D7ED8" w:rsidR="00BA6C5F" w:rsidRDefault="00BA6C5F" w:rsidP="000C7C0D">
      <w:pPr>
        <w:pStyle w:val="ListParagraph"/>
      </w:pPr>
    </w:p>
    <w:p w14:paraId="7FA7F41D" w14:textId="1AF4CDA7" w:rsidR="00BA6C5F" w:rsidRDefault="00BA6C5F" w:rsidP="00BA6C5F">
      <w:pPr>
        <w:pStyle w:val="Heading1"/>
      </w:pPr>
      <w:r>
        <w:t>Recap</w:t>
      </w:r>
    </w:p>
    <w:p w14:paraId="3C824128" w14:textId="46BA5F15" w:rsidR="00BA6C5F" w:rsidRDefault="00BA6C5F" w:rsidP="00BA6C5F">
      <w:r>
        <w:t>In Lab 6 you:</w:t>
      </w:r>
    </w:p>
    <w:p w14:paraId="40928CE8" w14:textId="23F7A158" w:rsidR="00BA6C5F" w:rsidRDefault="00BA6C5F" w:rsidP="00BA6C5F">
      <w:pPr>
        <w:pStyle w:val="ListParagraph"/>
        <w:numPr>
          <w:ilvl w:val="0"/>
          <w:numId w:val="8"/>
        </w:numPr>
      </w:pPr>
      <w:r>
        <w:t>created a Log Analytics workspace</w:t>
      </w:r>
    </w:p>
    <w:p w14:paraId="653F8882" w14:textId="3CB9DE7D" w:rsidR="00BA6C5F" w:rsidRDefault="00BA6C5F" w:rsidP="00BA6C5F">
      <w:pPr>
        <w:pStyle w:val="ListParagraph"/>
        <w:numPr>
          <w:ilvl w:val="0"/>
          <w:numId w:val="8"/>
        </w:numPr>
      </w:pPr>
      <w:r>
        <w:t>configured the workspace to receive log data from ADF</w:t>
      </w:r>
    </w:p>
    <w:p w14:paraId="76DE8DC7" w14:textId="4199322F" w:rsidR="00BA6C5F" w:rsidRDefault="00BA6C5F" w:rsidP="00BA6C5F">
      <w:pPr>
        <w:pStyle w:val="ListParagraph"/>
        <w:numPr>
          <w:ilvl w:val="0"/>
          <w:numId w:val="8"/>
        </w:numPr>
      </w:pPr>
      <w:r>
        <w:t>generated log data for a series of published pipelines</w:t>
      </w:r>
    </w:p>
    <w:p w14:paraId="2D270792" w14:textId="6D7F1CD9" w:rsidR="00BA6C5F" w:rsidRPr="00BA6C5F" w:rsidRDefault="00BA6C5F" w:rsidP="00BA6C5F">
      <w:pPr>
        <w:pStyle w:val="ListParagraph"/>
        <w:numPr>
          <w:ilvl w:val="0"/>
          <w:numId w:val="8"/>
        </w:numPr>
      </w:pPr>
      <w:r>
        <w:t>interacted with pipeline logs using the ADF UX, Log Analytics queries in Kusto and Log Analytics workbooks.</w:t>
      </w:r>
    </w:p>
    <w:sectPr w:rsidR="00BA6C5F" w:rsidRPr="00BA6C5F" w:rsidSect="00146490">
      <w:headerReference w:type="even" r:id="rId21"/>
      <w:headerReference w:type="default" r:id="rId22"/>
      <w:footerReference w:type="even" r:id="rId23"/>
      <w:footerReference w:type="default" r:id="rId24"/>
      <w:headerReference w:type="first" r:id="rId25"/>
      <w:footerReference w:type="first" r:id="rId26"/>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9E6C9" w14:textId="77777777" w:rsidR="0033669D" w:rsidRDefault="0033669D" w:rsidP="001F4102">
      <w:pPr>
        <w:spacing w:after="0" w:line="240" w:lineRule="auto"/>
      </w:pPr>
      <w:r>
        <w:separator/>
      </w:r>
    </w:p>
  </w:endnote>
  <w:endnote w:type="continuationSeparator" w:id="0">
    <w:p w14:paraId="6D17AD73" w14:textId="77777777" w:rsidR="0033669D" w:rsidRDefault="0033669D"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29F30" w14:textId="77777777" w:rsidR="00186A3E" w:rsidRDefault="00186A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7A949" w14:textId="4832889F" w:rsidR="00C037C7" w:rsidRDefault="00186A3E" w:rsidP="0050164C">
    <w:pPr>
      <w:pStyle w:val="Footer"/>
      <w:tabs>
        <w:tab w:val="clear" w:pos="9026"/>
        <w:tab w:val="right" w:pos="8931"/>
      </w:tabs>
      <w:ind w:right="-897"/>
      <w:jc w:val="right"/>
    </w:pPr>
    <w:r w:rsidRPr="00C037C7">
      <w:rPr>
        <w:noProof/>
      </w:rPr>
      <w:drawing>
        <wp:anchor distT="0" distB="0" distL="114300" distR="114300" simplePos="0" relativeHeight="251659264" behindDoc="0" locked="0" layoutInCell="1" allowOverlap="1" wp14:anchorId="730F1BD9" wp14:editId="60D899D4">
          <wp:simplePos x="0" y="0"/>
          <wp:positionH relativeFrom="leftMargin">
            <wp:posOffset>44450</wp:posOffset>
          </wp:positionH>
          <wp:positionV relativeFrom="paragraph">
            <wp:posOffset>-650240</wp:posOffset>
          </wp:positionV>
          <wp:extent cx="1223645" cy="1223645"/>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3645" cy="1223645"/>
                  </a:xfrm>
                  <a:prstGeom prst="rect">
                    <a:avLst/>
                  </a:prstGeom>
                </pic:spPr>
              </pic:pic>
            </a:graphicData>
          </a:graphic>
          <wp14:sizeRelH relativeFrom="margin">
            <wp14:pctWidth>0</wp14:pctWidth>
          </wp14:sizeRelH>
          <wp14:sizeRelV relativeFrom="margin">
            <wp14:pctHeight>0</wp14:pctHeight>
          </wp14:sizeRelV>
        </wp:anchor>
      </w:drawing>
    </w:r>
    <w:r w:rsidR="0050164C" w:rsidRPr="0076171E">
      <w:rPr>
        <w:i/>
      </w:rPr>
      <w:t xml:space="preserve">Lab </w:t>
    </w:r>
    <w:r w:rsidR="0050164C">
      <w:rPr>
        <w:i/>
      </w:rPr>
      <w:t>6</w:t>
    </w:r>
    <w:r w:rsidR="0050164C" w:rsidRPr="0076171E">
      <w:rPr>
        <w:i/>
      </w:rPr>
      <w:t xml:space="preserve"> – Page </w:t>
    </w:r>
    <w:r w:rsidR="0050164C" w:rsidRPr="0076171E">
      <w:rPr>
        <w:i/>
      </w:rPr>
      <w:fldChar w:fldCharType="begin"/>
    </w:r>
    <w:r w:rsidR="0050164C" w:rsidRPr="0076171E">
      <w:rPr>
        <w:i/>
      </w:rPr>
      <w:instrText xml:space="preserve"> PAGE   \* MERGEFORMAT </w:instrText>
    </w:r>
    <w:r w:rsidR="0050164C" w:rsidRPr="0076171E">
      <w:rPr>
        <w:i/>
      </w:rPr>
      <w:fldChar w:fldCharType="separate"/>
    </w:r>
    <w:r w:rsidR="0050164C">
      <w:rPr>
        <w:i/>
      </w:rPr>
      <w:t>1</w:t>
    </w:r>
    <w:r w:rsidR="0050164C" w:rsidRPr="0076171E">
      <w:rPr>
        <w:i/>
      </w:rPr>
      <w:fldChar w:fldCharType="end"/>
    </w:r>
    <w:r w:rsidR="0050164C" w:rsidRPr="0076171E">
      <w:rPr>
        <w:i/>
      </w:rPr>
      <w:t xml:space="preserve"> of </w:t>
    </w:r>
    <w:r w:rsidR="0050164C" w:rsidRPr="0076171E">
      <w:rPr>
        <w:i/>
      </w:rPr>
      <w:fldChar w:fldCharType="begin"/>
    </w:r>
    <w:r w:rsidR="0050164C" w:rsidRPr="0076171E">
      <w:rPr>
        <w:i/>
      </w:rPr>
      <w:instrText xml:space="preserve"> NUMPAGES   \* MERGEFORMAT </w:instrText>
    </w:r>
    <w:r w:rsidR="0050164C" w:rsidRPr="0076171E">
      <w:rPr>
        <w:i/>
      </w:rPr>
      <w:fldChar w:fldCharType="separate"/>
    </w:r>
    <w:r w:rsidR="0050164C">
      <w:rPr>
        <w:i/>
      </w:rPr>
      <w:t>8</w:t>
    </w:r>
    <w:r w:rsidR="0050164C" w:rsidRPr="0076171E">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8017D" w14:textId="77777777" w:rsidR="00186A3E" w:rsidRDefault="00186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EEAFA" w14:textId="77777777" w:rsidR="0033669D" w:rsidRDefault="0033669D" w:rsidP="001F4102">
      <w:pPr>
        <w:spacing w:after="0" w:line="240" w:lineRule="auto"/>
      </w:pPr>
      <w:r>
        <w:separator/>
      </w:r>
    </w:p>
  </w:footnote>
  <w:footnote w:type="continuationSeparator" w:id="0">
    <w:p w14:paraId="71CEACCB" w14:textId="77777777" w:rsidR="0033669D" w:rsidRDefault="0033669D"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37D59" w14:textId="77777777" w:rsidR="00186A3E" w:rsidRDefault="00186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06B6F" w14:textId="0C665986" w:rsidR="001F4102" w:rsidRPr="00186A3E" w:rsidRDefault="00DF10DB" w:rsidP="00DF10DB">
    <w:pPr>
      <w:pStyle w:val="Heading1"/>
      <w:ind w:right="-897"/>
      <w:jc w:val="right"/>
      <w:rPr>
        <w:rFonts w:ascii="Segoe UI" w:hAnsi="Segoe UI" w:cs="Segoe UI"/>
        <w:color w:val="005BA1"/>
      </w:rPr>
    </w:pPr>
    <w:r w:rsidRPr="00186A3E">
      <w:rPr>
        <w:rFonts w:ascii="Segoe UI" w:hAnsi="Segoe UI" w:cs="Segoe UI"/>
        <w:color w:val="005BA1"/>
      </w:rPr>
      <w:t>A Day Full of Azure Data Factory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21090" w14:textId="77777777" w:rsidR="00186A3E" w:rsidRDefault="00186A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6E4E"/>
    <w:multiLevelType w:val="hybridMultilevel"/>
    <w:tmpl w:val="4162D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D47AE"/>
    <w:multiLevelType w:val="hybridMultilevel"/>
    <w:tmpl w:val="DAA0B9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3B2852"/>
    <w:multiLevelType w:val="hybridMultilevel"/>
    <w:tmpl w:val="7EFE58C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D0AB4"/>
    <w:multiLevelType w:val="hybridMultilevel"/>
    <w:tmpl w:val="BFE0A3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FC5028"/>
    <w:multiLevelType w:val="hybridMultilevel"/>
    <w:tmpl w:val="3AECF34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BC3215"/>
    <w:multiLevelType w:val="hybridMultilevel"/>
    <w:tmpl w:val="C3F40FC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F20AB5"/>
    <w:multiLevelType w:val="hybridMultilevel"/>
    <w:tmpl w:val="D1A6559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F26C63"/>
    <w:multiLevelType w:val="hybridMultilevel"/>
    <w:tmpl w:val="C3CAA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345AF"/>
    <w:rsid w:val="00065169"/>
    <w:rsid w:val="00071055"/>
    <w:rsid w:val="0009362A"/>
    <w:rsid w:val="000A55C0"/>
    <w:rsid w:val="000A75AD"/>
    <w:rsid w:val="000B1E25"/>
    <w:rsid w:val="000B289D"/>
    <w:rsid w:val="000C0D6C"/>
    <w:rsid w:val="000C17FC"/>
    <w:rsid w:val="000C7C0D"/>
    <w:rsid w:val="000D7481"/>
    <w:rsid w:val="000E5176"/>
    <w:rsid w:val="000F45EF"/>
    <w:rsid w:val="00111DCD"/>
    <w:rsid w:val="00132F2C"/>
    <w:rsid w:val="00142392"/>
    <w:rsid w:val="00145444"/>
    <w:rsid w:val="00146490"/>
    <w:rsid w:val="00147883"/>
    <w:rsid w:val="00152253"/>
    <w:rsid w:val="001541C9"/>
    <w:rsid w:val="0017773B"/>
    <w:rsid w:val="001817ED"/>
    <w:rsid w:val="00186A3E"/>
    <w:rsid w:val="00187E9B"/>
    <w:rsid w:val="00190594"/>
    <w:rsid w:val="00196113"/>
    <w:rsid w:val="001B492D"/>
    <w:rsid w:val="001B5BC6"/>
    <w:rsid w:val="001C06CD"/>
    <w:rsid w:val="001C1CE2"/>
    <w:rsid w:val="001C42B9"/>
    <w:rsid w:val="001D12CE"/>
    <w:rsid w:val="001D5E19"/>
    <w:rsid w:val="001F3ABB"/>
    <w:rsid w:val="001F4102"/>
    <w:rsid w:val="001F73CD"/>
    <w:rsid w:val="0020093E"/>
    <w:rsid w:val="0023635E"/>
    <w:rsid w:val="00244706"/>
    <w:rsid w:val="00254AE4"/>
    <w:rsid w:val="002769B2"/>
    <w:rsid w:val="00277D1A"/>
    <w:rsid w:val="002907AB"/>
    <w:rsid w:val="002A68CB"/>
    <w:rsid w:val="002C00AB"/>
    <w:rsid w:val="002C6D98"/>
    <w:rsid w:val="002D1809"/>
    <w:rsid w:val="002D3714"/>
    <w:rsid w:val="002E0346"/>
    <w:rsid w:val="002E7F08"/>
    <w:rsid w:val="002F2E2E"/>
    <w:rsid w:val="00311703"/>
    <w:rsid w:val="0031286E"/>
    <w:rsid w:val="003141CA"/>
    <w:rsid w:val="003206B3"/>
    <w:rsid w:val="00333537"/>
    <w:rsid w:val="0033669D"/>
    <w:rsid w:val="0035005E"/>
    <w:rsid w:val="003650C0"/>
    <w:rsid w:val="00384A62"/>
    <w:rsid w:val="00395689"/>
    <w:rsid w:val="00397641"/>
    <w:rsid w:val="003C2820"/>
    <w:rsid w:val="003D2BF2"/>
    <w:rsid w:val="003E07BB"/>
    <w:rsid w:val="00413EFC"/>
    <w:rsid w:val="00417159"/>
    <w:rsid w:val="00444472"/>
    <w:rsid w:val="00452F5A"/>
    <w:rsid w:val="00495B90"/>
    <w:rsid w:val="004A41D0"/>
    <w:rsid w:val="004B7CB7"/>
    <w:rsid w:val="004C665D"/>
    <w:rsid w:val="004E0F84"/>
    <w:rsid w:val="004F2FC5"/>
    <w:rsid w:val="004F6EBD"/>
    <w:rsid w:val="0050164C"/>
    <w:rsid w:val="005161A1"/>
    <w:rsid w:val="005225BD"/>
    <w:rsid w:val="00541468"/>
    <w:rsid w:val="00561837"/>
    <w:rsid w:val="00562457"/>
    <w:rsid w:val="00574B43"/>
    <w:rsid w:val="00595421"/>
    <w:rsid w:val="005B39DE"/>
    <w:rsid w:val="005C0BBE"/>
    <w:rsid w:val="005E6C8E"/>
    <w:rsid w:val="00612D8F"/>
    <w:rsid w:val="006242F5"/>
    <w:rsid w:val="00625B20"/>
    <w:rsid w:val="00630BE8"/>
    <w:rsid w:val="006378BA"/>
    <w:rsid w:val="0064042F"/>
    <w:rsid w:val="006A720D"/>
    <w:rsid w:val="006E7121"/>
    <w:rsid w:val="00712172"/>
    <w:rsid w:val="00720647"/>
    <w:rsid w:val="00736E8E"/>
    <w:rsid w:val="007519E2"/>
    <w:rsid w:val="007640A2"/>
    <w:rsid w:val="00766AD8"/>
    <w:rsid w:val="00776129"/>
    <w:rsid w:val="00783085"/>
    <w:rsid w:val="007963FA"/>
    <w:rsid w:val="007B2FC6"/>
    <w:rsid w:val="007B7942"/>
    <w:rsid w:val="007C7202"/>
    <w:rsid w:val="007D1BF5"/>
    <w:rsid w:val="007D4566"/>
    <w:rsid w:val="007F0D56"/>
    <w:rsid w:val="0080293A"/>
    <w:rsid w:val="008146E7"/>
    <w:rsid w:val="00822AE4"/>
    <w:rsid w:val="00834927"/>
    <w:rsid w:val="0084242A"/>
    <w:rsid w:val="00860DD3"/>
    <w:rsid w:val="008628B7"/>
    <w:rsid w:val="00884884"/>
    <w:rsid w:val="0089054A"/>
    <w:rsid w:val="00891DCE"/>
    <w:rsid w:val="008A6DCC"/>
    <w:rsid w:val="008D16B7"/>
    <w:rsid w:val="008F24B8"/>
    <w:rsid w:val="0091521E"/>
    <w:rsid w:val="009157D0"/>
    <w:rsid w:val="009205AE"/>
    <w:rsid w:val="00941613"/>
    <w:rsid w:val="00961DD6"/>
    <w:rsid w:val="00981037"/>
    <w:rsid w:val="00983385"/>
    <w:rsid w:val="00983CFC"/>
    <w:rsid w:val="009F69D5"/>
    <w:rsid w:val="00A02216"/>
    <w:rsid w:val="00A0414B"/>
    <w:rsid w:val="00A16BC0"/>
    <w:rsid w:val="00A20AE7"/>
    <w:rsid w:val="00A22603"/>
    <w:rsid w:val="00A374E9"/>
    <w:rsid w:val="00A541C2"/>
    <w:rsid w:val="00A65CAE"/>
    <w:rsid w:val="00AA7697"/>
    <w:rsid w:val="00AC3BF0"/>
    <w:rsid w:val="00AC671C"/>
    <w:rsid w:val="00AD3569"/>
    <w:rsid w:val="00AE39D1"/>
    <w:rsid w:val="00AE4CB8"/>
    <w:rsid w:val="00AE5ECD"/>
    <w:rsid w:val="00AE5FE2"/>
    <w:rsid w:val="00AF6529"/>
    <w:rsid w:val="00B01472"/>
    <w:rsid w:val="00B131F0"/>
    <w:rsid w:val="00B17097"/>
    <w:rsid w:val="00B175D2"/>
    <w:rsid w:val="00B213B4"/>
    <w:rsid w:val="00B22138"/>
    <w:rsid w:val="00B229C4"/>
    <w:rsid w:val="00B260C3"/>
    <w:rsid w:val="00B271D3"/>
    <w:rsid w:val="00B44CF6"/>
    <w:rsid w:val="00B4710A"/>
    <w:rsid w:val="00B52507"/>
    <w:rsid w:val="00B67DB1"/>
    <w:rsid w:val="00BA6C5F"/>
    <w:rsid w:val="00BB53EF"/>
    <w:rsid w:val="00BC0165"/>
    <w:rsid w:val="00BD0802"/>
    <w:rsid w:val="00BE6BE4"/>
    <w:rsid w:val="00BF1484"/>
    <w:rsid w:val="00BF2AB5"/>
    <w:rsid w:val="00BF7317"/>
    <w:rsid w:val="00C037C7"/>
    <w:rsid w:val="00C11008"/>
    <w:rsid w:val="00C17636"/>
    <w:rsid w:val="00C4682A"/>
    <w:rsid w:val="00C53348"/>
    <w:rsid w:val="00C671D6"/>
    <w:rsid w:val="00C71D41"/>
    <w:rsid w:val="00C84464"/>
    <w:rsid w:val="00CC2B4E"/>
    <w:rsid w:val="00CC559C"/>
    <w:rsid w:val="00CC7000"/>
    <w:rsid w:val="00CD0D71"/>
    <w:rsid w:val="00CD35C2"/>
    <w:rsid w:val="00CE562D"/>
    <w:rsid w:val="00CE62BF"/>
    <w:rsid w:val="00CE6724"/>
    <w:rsid w:val="00CE6D85"/>
    <w:rsid w:val="00CE7457"/>
    <w:rsid w:val="00CE7DDE"/>
    <w:rsid w:val="00D07BEF"/>
    <w:rsid w:val="00D2617D"/>
    <w:rsid w:val="00D27AA0"/>
    <w:rsid w:val="00D32473"/>
    <w:rsid w:val="00D329CE"/>
    <w:rsid w:val="00D5252A"/>
    <w:rsid w:val="00D550C6"/>
    <w:rsid w:val="00D55488"/>
    <w:rsid w:val="00D61437"/>
    <w:rsid w:val="00D61477"/>
    <w:rsid w:val="00D715EB"/>
    <w:rsid w:val="00DB2560"/>
    <w:rsid w:val="00DB7428"/>
    <w:rsid w:val="00DD173C"/>
    <w:rsid w:val="00DD1B86"/>
    <w:rsid w:val="00DD2DEE"/>
    <w:rsid w:val="00DE4271"/>
    <w:rsid w:val="00DF10DB"/>
    <w:rsid w:val="00DF1B95"/>
    <w:rsid w:val="00E03E0B"/>
    <w:rsid w:val="00E1117F"/>
    <w:rsid w:val="00E25A5F"/>
    <w:rsid w:val="00E27420"/>
    <w:rsid w:val="00E36543"/>
    <w:rsid w:val="00E46F22"/>
    <w:rsid w:val="00E535AF"/>
    <w:rsid w:val="00E60904"/>
    <w:rsid w:val="00E62504"/>
    <w:rsid w:val="00E75EA7"/>
    <w:rsid w:val="00E91F2D"/>
    <w:rsid w:val="00E92B01"/>
    <w:rsid w:val="00EA6940"/>
    <w:rsid w:val="00EE7D7F"/>
    <w:rsid w:val="00EF32AE"/>
    <w:rsid w:val="00F64D62"/>
    <w:rsid w:val="00F72B2C"/>
    <w:rsid w:val="00FB0B43"/>
    <w:rsid w:val="00FB4D67"/>
    <w:rsid w:val="00FC4A39"/>
    <w:rsid w:val="00FE1E0C"/>
    <w:rsid w:val="00FF1B02"/>
    <w:rsid w:val="00FF2694"/>
    <w:rsid w:val="00FF7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20731">
      <w:bodyDiv w:val="1"/>
      <w:marLeft w:val="0"/>
      <w:marRight w:val="0"/>
      <w:marTop w:val="0"/>
      <w:marBottom w:val="0"/>
      <w:divBdr>
        <w:top w:val="none" w:sz="0" w:space="0" w:color="auto"/>
        <w:left w:val="none" w:sz="0" w:space="0" w:color="auto"/>
        <w:bottom w:val="none" w:sz="0" w:space="0" w:color="auto"/>
        <w:right w:val="none" w:sz="0" w:space="0" w:color="auto"/>
      </w:divBdr>
      <w:divsChild>
        <w:div w:id="588120595">
          <w:marLeft w:val="0"/>
          <w:marRight w:val="0"/>
          <w:marTop w:val="0"/>
          <w:marBottom w:val="0"/>
          <w:divBdr>
            <w:top w:val="none" w:sz="0" w:space="0" w:color="auto"/>
            <w:left w:val="none" w:sz="0" w:space="0" w:color="auto"/>
            <w:bottom w:val="none" w:sz="0" w:space="0" w:color="auto"/>
            <w:right w:val="none" w:sz="0" w:space="0" w:color="auto"/>
          </w:divBdr>
          <w:divsChild>
            <w:div w:id="808597679">
              <w:marLeft w:val="0"/>
              <w:marRight w:val="0"/>
              <w:marTop w:val="0"/>
              <w:marBottom w:val="0"/>
              <w:divBdr>
                <w:top w:val="none" w:sz="0" w:space="0" w:color="auto"/>
                <w:left w:val="none" w:sz="0" w:space="0" w:color="auto"/>
                <w:bottom w:val="none" w:sz="0" w:space="0" w:color="auto"/>
                <w:right w:val="none" w:sz="0" w:space="0" w:color="auto"/>
              </w:divBdr>
            </w:div>
            <w:div w:id="950821089">
              <w:marLeft w:val="0"/>
              <w:marRight w:val="0"/>
              <w:marTop w:val="0"/>
              <w:marBottom w:val="0"/>
              <w:divBdr>
                <w:top w:val="none" w:sz="0" w:space="0" w:color="auto"/>
                <w:left w:val="none" w:sz="0" w:space="0" w:color="auto"/>
                <w:bottom w:val="none" w:sz="0" w:space="0" w:color="auto"/>
                <w:right w:val="none" w:sz="0" w:space="0" w:color="auto"/>
              </w:divBdr>
            </w:div>
            <w:div w:id="1333529902">
              <w:marLeft w:val="0"/>
              <w:marRight w:val="0"/>
              <w:marTop w:val="0"/>
              <w:marBottom w:val="0"/>
              <w:divBdr>
                <w:top w:val="none" w:sz="0" w:space="0" w:color="auto"/>
                <w:left w:val="none" w:sz="0" w:space="0" w:color="auto"/>
                <w:bottom w:val="none" w:sz="0" w:space="0" w:color="auto"/>
                <w:right w:val="none" w:sz="0" w:space="0" w:color="auto"/>
              </w:divBdr>
            </w:div>
            <w:div w:id="426538821">
              <w:marLeft w:val="0"/>
              <w:marRight w:val="0"/>
              <w:marTop w:val="0"/>
              <w:marBottom w:val="0"/>
              <w:divBdr>
                <w:top w:val="none" w:sz="0" w:space="0" w:color="auto"/>
                <w:left w:val="none" w:sz="0" w:space="0" w:color="auto"/>
                <w:bottom w:val="none" w:sz="0" w:space="0" w:color="auto"/>
                <w:right w:val="none" w:sz="0" w:space="0" w:color="auto"/>
              </w:divBdr>
            </w:div>
            <w:div w:id="1123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arketplace.microsoft.com/en-us/marketplace/apps/Microsoft.AzureDataFactoryAnalytic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6595C4-4C2C-4B3F-8BFE-5626B9E3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84</cp:revision>
  <cp:lastPrinted>2020-09-28T13:39:00Z</cp:lastPrinted>
  <dcterms:created xsi:type="dcterms:W3CDTF">2019-04-07T18:26:00Z</dcterms:created>
  <dcterms:modified xsi:type="dcterms:W3CDTF">2020-09-28T13:40:00Z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