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140" w:line="264" w:lineRule="auto"/>
        <w:jc w:val="center"/>
      </w:pPr>
      <w:r>
        <w:rPr>
          <w:rFonts w:ascii="Calibri" w:hAnsi="Calibri"/>
          <w:b/>
          <w:i w:val="0"/>
          <w:color w:val="6F3AA8"/>
          <w:sz w:val="20"/>
        </w:rPr>
        <w:t>FEST REALM</w:t>
      </w:r>
    </w:p>
    <w:p>
      <w:pPr>
        <w:keepNext w:val="0"/>
        <w:spacing w:before="0" w:after="100" w:line="228" w:lineRule="auto"/>
        <w:jc w:val="center"/>
      </w:pPr>
      <w:r>
        <w:rPr>
          <w:rFonts w:ascii="Calibri" w:hAnsi="Calibri"/>
          <w:b/>
          <w:i w:val="0"/>
          <w:color w:val="34214F"/>
          <w:sz w:val="54"/>
        </w:rPr>
        <w:t>Project Design &amp;</w:t>
        <w:br/>
        <w:t>Implementation Handoff</w:t>
      </w:r>
    </w:p>
    <w:p>
      <w:pPr>
        <w:keepNext w:val="0"/>
        <w:spacing w:before="0" w:after="280" w:line="264" w:lineRule="auto"/>
        <w:jc w:val="center"/>
      </w:pPr>
      <w:r>
        <w:rPr>
          <w:rFonts w:ascii="Calibri" w:hAnsi="Calibri"/>
          <w:b w:val="0"/>
          <w:i w:val="0"/>
          <w:color w:val="5E6873"/>
          <w:sz w:val="22"/>
        </w:rPr>
        <w:t>A concise briefing for the team: current progress, visual direction, implementation approach, and the next delivery steps.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063240" cy="4342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ecraft UI cop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4342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0" w:after="40" w:line="264" w:lineRule="auto"/>
        <w:jc w:val="center"/>
      </w:pPr>
      <w:r>
        <w:rPr>
          <w:rFonts w:ascii="Calibri" w:hAnsi="Calibri"/>
          <w:b w:val="0"/>
          <w:i/>
          <w:color w:val="5E6873"/>
          <w:sz w:val="17"/>
        </w:rPr>
        <w:t>Provided visual reference — landing screen / portal entry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5E6873"/>
                <w:sz w:val="15"/>
              </w:rPr>
              <w:t>PROJECT STATE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2F7D5A"/>
                <w:sz w:val="18"/>
              </w:rPr>
              <w:t>Phases 0–5 built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5E6873"/>
                <w:sz w:val="15"/>
              </w:rPr>
              <w:t>CORE IDEA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6F3AA8"/>
                <w:sz w:val="18"/>
              </w:rPr>
              <w:t>Voxel-styled fest portal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5E6873"/>
                <w:sz w:val="15"/>
              </w:rPr>
              <w:t>NEXT MILESTONE</w:t>
            </w:r>
          </w:p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9A6C00"/>
                <w:sz w:val="18"/>
              </w:rPr>
              <w:t>Supabase + organizer tools</w:t>
            </w:r>
          </w:p>
        </w:tc>
      </w:tr>
    </w:tbl>
    <w:p>
      <w:pPr>
        <w:keepNext w:val="0"/>
        <w:spacing w:before="240" w:after="0" w:line="264" w:lineRule="auto"/>
        <w:jc w:val="center"/>
      </w:pPr>
      <w:r>
        <w:rPr>
          <w:rFonts w:ascii="Calibri" w:hAnsi="Calibri"/>
          <w:b w:val="0"/>
          <w:i/>
          <w:color w:val="5E6873"/>
          <w:sz w:val="17"/>
        </w:rPr>
        <w:t>Prepared from the current codebase and supplied design screens · 26 July 2026</w:t>
      </w:r>
    </w:p>
    <w:p>
      <w:r>
        <w:br w:type="page"/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1. Where the project is today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The product is an interactive prototype, not just a visual concept.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1EAF8"/>
            <w:tcBorders>
              <w:left w:val="single" w:sz="14" w:color="6F3AA8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22"/>
              </w:rPr>
              <w:t>Team takeaway: the end-to-end participant experience, the 3D/2D event world, and a repository-based data model are in place. The work now moves from a self-contained demo to production-ready content, backend security, and organizer operations.</w:t>
            </w:r>
          </w:p>
        </w:tc>
      </w:tr>
    </w:tbl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Built and reviewable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Portal-led visitor journey: landing → entering animation → sign-in/sign-up → character creation → travelling transition → world.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Public festival pages: events, event detail, schedule, sponsors, and leaderboard; protected participant areas include dashboard, inventory, team, achievements, notifications, profile, and settings.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A walkable voxel village plus equal Map and List views. Desktop-capable browsers can use 3D; phones and assistive paths retain practical alternatives.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Local data system for profiles, events, registrations, teams, XP, achievements, and attendance. Its repository interface is deliberately ready to swap to Supabase.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Motion and accessibility foundations: GSAP for cinematic timelines, Framer Motion for UI elements, a reduced-motion path, responsive layouts, labelled controls, and a mobile tab bar.</w:t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Current implementation status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4350"/>
        <w:gridCol w:w="29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Area</w:t>
            </w:r>
          </w:p>
        </w:tc>
        <w:tc>
          <w:tcPr>
            <w:tcW w:type="dxa" w:w="4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exists now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Production follow-up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Experience</w:t>
            </w:r>
          </w:p>
        </w:tc>
        <w:tc>
          <w:tcPr>
            <w:tcW w:type="dxa" w:w="43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Portal, auth, character, world, dashboard and public routes implemented.</w:t>
            </w:r>
          </w:p>
        </w:tc>
        <w:tc>
          <w:tcPr>
            <w:tcW w:type="dxa" w:w="29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Run a full team QA pass with real event copy.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World</w:t>
            </w:r>
          </w:p>
        </w:tc>
        <w:tc>
          <w:tcPr>
            <w:tcW w:type="dxa" w:w="43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3D village, 2D interactive map and list access all describe the same locations.</w:t>
            </w:r>
          </w:p>
        </w:tc>
        <w:tc>
          <w:tcPr>
            <w:tcW w:type="dxa" w:w="29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Finish art pass and test on target devices.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Data</w:t>
            </w:r>
          </w:p>
        </w:tc>
        <w:tc>
          <w:tcPr>
            <w:tcW w:type="dxa" w:w="43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localStorage repository with idempotent XP, registration/waitlist and achievement rules.</w:t>
            </w:r>
          </w:p>
        </w:tc>
        <w:tc>
          <w:tcPr>
            <w:tcW w:type="dxa" w:w="29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Replace with Supabase before trusted attendance or roles.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Art</w:t>
            </w:r>
          </w:p>
        </w:tc>
        <w:tc>
          <w:tcPr>
            <w:tcW w:type="dxa" w:w="43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Manifest-based placeholders maintain the intended image dimensions and avoid layout shifts.</w:t>
            </w:r>
          </w:p>
        </w:tc>
        <w:tc>
          <w:tcPr>
            <w:tcW w:type="dxa" w:w="29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Deliver original production art into public/art/**.</w:t>
            </w:r>
          </w:p>
        </w:tc>
      </w:tr>
    </w:tbl>
    <w:p>
      <w:pPr>
        <w:keepNext w:val="0"/>
        <w:spacing w:before="140" w:after="0" w:line="264" w:lineRule="auto"/>
        <w:jc w:val="left"/>
      </w:pPr>
      <w:r>
        <w:rPr>
          <w:rFonts w:ascii="Calibri" w:hAnsi="Calibri"/>
          <w:b w:val="0"/>
          <w:i/>
          <w:color w:val="9B1C1C"/>
          <w:sz w:val="18"/>
        </w:rPr>
        <w:t>Important scope note: localStorage is appropriate for the prototype but is not a security boundary. Do not use it for trusted QR attendance, prizes, or live organizer permissions.</w:t>
      </w:r>
    </w:p>
    <w:p>
      <w:r>
        <w:br w:type="page"/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2. Intended participant experience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The supplied screen set maps to an implementation already represented in the route structure.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 w:val="0"/>
          <w:color w:val="27303A"/>
          <w:sz w:val="21"/>
        </w:rPr>
        <w:t>The design tells a clear story: enter a special realm, create an identity, then discover the festival as a world. The portal is a navigation device, not a decorative splash screen; it gives the product a memorable opening and hides route/data preparation behind a purposeful transition.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00936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necraft UI cop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009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1. Landing — establish the Fest Realm premise.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05299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_1_Minecraft UI enter anim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0529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2. Entering — portal animation provides a loading bridge.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23888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_2_Minecraft UI welcome p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23888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3. Login / signup — a focused, game-like form.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86023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f0d614fc-4301-422a-94aa-ec6335f05b84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602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4. Create character — player name, college and avatar.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17320" cy="1868479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_3_Minecraft UI after logi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8684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5. Travelling — transition to the festival space.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14600" cy="177644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_4_Minecraft UI World Spawn Map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7764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6. World spawn — event categories become places to explore.</w:t>
            </w:r>
          </w:p>
        </w:tc>
      </w:tr>
    </w:tbl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What makes this feel coherent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One stable motif: deep-violet portal energy carries the visitor from landing through authentication and into the world.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The world is informational as well as atmospheric: each landmark maps to an event category, so a visitor can enter through their interest rather than a generic navigation menu.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Progression is visible through avatar, XP, registrations, achievement slots and the inventory metaphor, giving repeat attendance a rewarding loop.</w:t>
      </w:r>
    </w:p>
    <w:p>
      <w:r>
        <w:br w:type="page"/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3. Visual language and responsive UI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Use the blocky aesthetic as a consistent interaction system, while keeping every asset and character original.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400"/>
        <w:gridCol w:w="3960"/>
      </w:tblGrid>
      <w:tr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1999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fe055588-f266-4e20-a2f2-902c0d66db72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199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Desktop inventory/dashboard reference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6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3932414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dex-clipboard-753f6f6c-9864-46b9-8ce1-c8aea53b038d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39324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spacing w:before="0" w:after="40" w:line="264" w:lineRule="auto"/>
              <w:jc w:val="center"/>
            </w:pPr>
            <w:r>
              <w:rPr>
                <w:rFonts w:ascii="Calibri" w:hAnsi="Calibri"/>
                <w:b w:val="0"/>
                <w:i/>
                <w:color w:val="5E6873"/>
                <w:sz w:val="17"/>
              </w:rPr>
              <w:t>Mobile quick-access reference</w:t>
            </w:r>
          </w:p>
        </w:tc>
      </w:tr>
    </w:tbl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Design decisions to carry into every screen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9"/>
              </w:rPr>
              <w:t>Surfaces</w:t>
            </w:r>
          </w:p>
        </w:tc>
        <w:tc>
          <w:tcPr>
            <w:tcW w:type="dxa" w:w="726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9"/>
              </w:rPr>
              <w:t>Near-black panels, inset slots, hard borders and bevel highlights make controls feel tactile without needing copied game UI art.</w:t>
            </w:r>
          </w:p>
        </w:tc>
      </w:tr>
      <w:tr>
        <w:tc>
          <w:tcPr>
            <w:tcW w:type="dxa" w:w="21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9"/>
              </w:rPr>
              <w:t>Accent system</w:t>
            </w:r>
          </w:p>
        </w:tc>
        <w:tc>
          <w:tcPr>
            <w:tcW w:type="dxa" w:w="72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9"/>
              </w:rPr>
              <w:t>Portal violet is the primary action/transition colour; emerald, gold, cyan and red communicate states, rarity and event categories.</w:t>
            </w:r>
          </w:p>
        </w:tc>
      </w:tr>
      <w:tr>
        <w:tc>
          <w:tcPr>
            <w:tcW w:type="dxa" w:w="210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9"/>
              </w:rPr>
              <w:t>Type</w:t>
            </w:r>
          </w:p>
        </w:tc>
        <w:tc>
          <w:tcPr>
            <w:tcW w:type="dxa" w:w="726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9"/>
              </w:rPr>
              <w:t>Pixel display type is reserved for headings and micro-labels; readable body copy supports forms, schedules and longer event information.</w:t>
            </w:r>
          </w:p>
        </w:tc>
      </w:tr>
      <w:tr>
        <w:tc>
          <w:tcPr>
            <w:tcW w:type="dxa" w:w="21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9"/>
              </w:rPr>
              <w:t>Responsive pattern</w:t>
            </w:r>
          </w:p>
        </w:tc>
        <w:tc>
          <w:tcPr>
            <w:tcW w:type="dxa" w:w="72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9"/>
              </w:rPr>
              <w:t>Desktop uses side navigation and multi-column cards. Mobile prioritises a tab bar, quick actions and a single-column task-focused flow.</w:t>
            </w:r>
          </w:p>
        </w:tc>
      </w:tr>
      <w:tr>
        <w:tc>
          <w:tcPr>
            <w:tcW w:type="dxa" w:w="210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9"/>
              </w:rPr>
              <w:t>Asset policy</w:t>
            </w:r>
          </w:p>
        </w:tc>
        <w:tc>
          <w:tcPr>
            <w:tcW w:type="dxa" w:w="7260"/>
            <w:tcBorders>
              <w:bottom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9"/>
              </w:rPr>
              <w:t>Original voxel-inspired art only. Avoid game logos, fonts, characters, skins, textures and trademark terms from other games.</w:t>
            </w:r>
          </w:p>
        </w:tc>
      </w:tr>
    </w:tbl>
    <w:p>
      <w:pPr>
        <w:keepNext w:val="0"/>
        <w:spacing w:before="160" w:after="0" w:line="264" w:lineRule="auto"/>
        <w:jc w:val="left"/>
      </w:pPr>
      <w:r>
        <w:rPr>
          <w:rFonts w:ascii="Calibri" w:hAnsi="Calibri"/>
          <w:b w:val="0"/>
          <w:i/>
          <w:color w:val="5E6873"/>
          <w:sz w:val="18"/>
        </w:rPr>
        <w:t>Implementation reference: the Tailwind v4 tokens are centralised in src/app/globals.css, while reusable components such as BlockButton, BlockPanel, BlockInput, Hotbar, PixelAvatar and Signpost prevent style drift.</w:t>
      </w:r>
    </w:p>
    <w:p>
      <w:r>
        <w:br w:type="page"/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4. How the website is implemented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The architecture is intentionally modular so visual work, interaction work and backend work can advance without a rewrite.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50"/>
        <w:gridCol w:w="3410"/>
      </w:tblGrid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Layer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Current implementation</w:t>
            </w:r>
          </w:p>
        </w:tc>
        <w:tc>
          <w:tcPr>
            <w:tcW w:type="dxa" w:w="3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Why it matters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Routes &amp; screens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Next.js 16 App Router separates portal, auth, public and signed-in route groups.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The visitor journey stays understandable and routes can be protected later without redesigning screens.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UI system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React 19 + TypeScript, Tailwind v4 design tokens, Radix dialog primitives and reusable voxel-style components.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A single component vocabulary gives every team member a safe, repeatable way to build new pages.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Motion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GSAP owns portal/cinematic timelines; Framer Motion handles component-level transitions. Reduced motion is supported in code and settings.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Motion adds atmosphere while remaining optional and accessible.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World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React Three Fiber/three.js renders a generated walkable village; Map and List expose the same event locations.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3D is a differentiator, but no visitor is blocked by device capability or motion preference.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Data seam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All screens use an async Repository interface; LocalRepository currently stores data in localStorage.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Supabase can replace the implementation without rewriting every screen call.</w:t>
            </w:r>
          </w:p>
        </w:tc>
      </w:tr>
      <w:tr>
        <w:tc>
          <w:tcPr>
            <w:tcW w:type="dxa" w:w="21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i w:val="0"/>
                <w:color w:val="34214F"/>
                <w:sz w:val="17"/>
              </w:rPr>
              <w:t>Art delivery</w:t>
            </w:r>
          </w:p>
        </w:tc>
        <w:tc>
          <w:tcPr>
            <w:tcW w:type="dxa" w:w="385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A central asset manifest declares dimensions and serves generated placeholders until files arrive.</w:t>
            </w:r>
          </w:p>
        </w:tc>
        <w:tc>
          <w:tcPr>
            <w:tcW w:type="dxa" w:w="341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7"/>
              </w:rPr>
              <w:t>Artists can deliver incrementally without layout shift or hard-coded paths.</w:t>
            </w:r>
          </w:p>
        </w:tc>
      </w:tr>
    </w:tbl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Practical development approach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Build each new feature as a route-level screen composed from the shared voxel components; avoid one-off CSS that bypasses the theme tokens.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Add or refine an event category in the data model, then map it to a world location and a biome scene so public listings, map labels and world markers stay aligned.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Supply art to the documented public/art/** paths at the declared pixel dimensions. The placeholder system ensures screens do not jump when each asset is replaced.</w:t>
      </w:r>
    </w:p>
    <w:p>
      <w:pPr>
        <w:pStyle w:val="ListNumber"/>
        <w:spacing w:after="80" w:line="280" w:lineRule="auto"/>
        <w:ind w:left="720" w:hanging="360"/>
      </w:pPr>
      <w:r>
        <w:rPr>
          <w:rFonts w:ascii="Calibri" w:hAnsi="Calibri"/>
          <w:b w:val="0"/>
          <w:i w:val="0"/>
          <w:color w:val="27303A"/>
          <w:sz w:val="21"/>
        </w:rPr>
        <w:t>Before trusted live operations, connect Supabase Auth/Postgres, move route protection server-side, and enforce roles through database RLS—not through client-side UI checks.</w:t>
      </w:r>
    </w:p>
    <w:p>
      <w:r>
        <w:br w:type="page"/>
      </w:r>
    </w:p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5. Recommended next steps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Sequence the delivery so the team can demo confidently now and harden for a real event later.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900"/>
        <w:gridCol w:w="2860"/>
      </w:tblGrid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Priority</w:t>
            </w:r>
          </w:p>
        </w:tc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Work to schedule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34214F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Definition of done</w:t>
            </w:r>
          </w:p>
        </w:tc>
      </w:tr>
      <w:tr>
        <w:tc>
          <w:tcPr>
            <w:tcW w:type="dxa" w:w="16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34214F"/>
                <w:sz w:val="18"/>
              </w:rPr>
              <w:t>Now</w:t>
            </w:r>
          </w:p>
        </w:tc>
        <w:tc>
          <w:tcPr>
            <w:tcW w:type="dxa" w:w="49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Content and experience QA: enter real event details, verify the journey on desktop/mobile, and decide the first public event categories.</w:t>
            </w:r>
          </w:p>
        </w:tc>
        <w:tc>
          <w:tcPr>
            <w:tcW w:type="dxa" w:w="286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 shareable internal demo with approved copy and tested flows.</w:t>
            </w:r>
          </w:p>
        </w:tc>
      </w:tr>
      <w:tr>
        <w:tc>
          <w:tcPr>
            <w:tcW w:type="dxa" w:w="16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34214F"/>
                <w:sz w:val="18"/>
              </w:rPr>
              <w:t>Next</w:t>
            </w:r>
          </w:p>
        </w:tc>
        <w:tc>
          <w:tcPr>
            <w:tcW w:type="dxa" w:w="49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Original art production: portal scenes, five character archetypes, biome layers, sprites, badges and world-map image to the supplied manifest sizes.</w:t>
            </w:r>
          </w:p>
        </w:tc>
        <w:tc>
          <w:tcPr>
            <w:tcW w:type="dxa" w:w="286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Placeholders are replaced incrementally with no visual re-layout.</w:t>
            </w:r>
          </w:p>
        </w:tc>
      </w:tr>
      <w:tr>
        <w:tc>
          <w:tcPr>
            <w:tcW w:type="dxa" w:w="16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34214F"/>
                <w:sz w:val="18"/>
              </w:rPr>
              <w:t>Before live</w:t>
            </w:r>
          </w:p>
        </w:tc>
        <w:tc>
          <w:tcPr>
            <w:tcW w:type="dxa" w:w="49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Supabase migration: auth, Postgres tables, RLS roles, server route protection and environment configuration.</w:t>
            </w:r>
          </w:p>
        </w:tc>
        <w:tc>
          <w:tcPr>
            <w:tcW w:type="dxa" w:w="286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Cross-device accounts and secure data mutations.</w:t>
            </w:r>
          </w:p>
        </w:tc>
      </w:tr>
      <w:tr>
        <w:tc>
          <w:tcPr>
            <w:tcW w:type="dxa" w:w="16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34214F"/>
                <w:sz w:val="18"/>
              </w:rPr>
              <w:t>Then</w:t>
            </w:r>
          </w:p>
        </w:tc>
        <w:tc>
          <w:tcPr>
            <w:tcW w:type="dxa" w:w="49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Operational tools: full event CRUD, teams, organizer/admin dashboards, realtime announcements and QR check-in with server-held signing.</w:t>
            </w:r>
          </w:p>
        </w:tc>
        <w:tc>
          <w:tcPr>
            <w:tcW w:type="dxa" w:w="286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 festival operations workflow that can be trusted on event day.</w:t>
            </w:r>
          </w:p>
        </w:tc>
      </w:tr>
      <w:tr>
        <w:tc>
          <w:tcPr>
            <w:tcW w:type="dxa" w:w="16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  <w:shd w:fill="E8EEF5"/>
          </w:tcPr>
          <w:p>
            <w:pPr>
              <w:keepNext w:val="0"/>
              <w:spacing w:before="0" w:after="0" w:line="264" w:lineRule="auto"/>
              <w:jc w:val="center"/>
            </w:pPr>
            <w:r>
              <w:rPr>
                <w:rFonts w:ascii="Calibri" w:hAnsi="Calibri"/>
                <w:b/>
                <w:i w:val="0"/>
                <w:color w:val="34214F"/>
                <w:sz w:val="18"/>
              </w:rPr>
              <w:t>Launch hardening</w:t>
            </w:r>
          </w:p>
        </w:tc>
        <w:tc>
          <w:tcPr>
            <w:tcW w:type="dxa" w:w="490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Accessibility, performance, device testing, load testing, monitoring and a final design consistency review.</w:t>
            </w:r>
          </w:p>
        </w:tc>
        <w:tc>
          <w:tcPr>
            <w:tcW w:type="dxa" w:w="2860"/>
            <w:tcBorders>
              <w:top w:val="single" w:sz="4" w:color="DADCE0"/>
              <w:bottom w:val="single" w:sz="4" w:color="DADCE0"/>
              <w:left w:val="single" w:sz="4" w:color="DADCE0"/>
              <w:right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 reliable public launch, not just a polished demo.</w:t>
            </w:r>
          </w:p>
        </w:tc>
      </w:tr>
    </w:tbl>
    <w:p>
      <w:pPr>
        <w:keepNext/>
        <w:spacing w:before="320" w:after="100" w:line="264" w:lineRule="auto"/>
        <w:jc w:val="left"/>
      </w:pPr>
      <w:r>
        <w:rPr>
          <w:rFonts w:ascii="Calibri" w:hAnsi="Calibri"/>
          <w:b/>
          <w:i w:val="0"/>
          <w:color w:val="2E74B5"/>
          <w:sz w:val="32"/>
        </w:rPr>
        <w:t>Team reference links and source material</w:t>
      </w:r>
    </w:p>
    <w:p>
      <w:pPr>
        <w:keepNext w:val="0"/>
        <w:spacing w:before="0" w:after="160" w:line="264" w:lineRule="auto"/>
        <w:jc w:val="left"/>
      </w:pPr>
      <w:r>
        <w:rPr>
          <w:rFonts w:ascii="Calibri" w:hAnsi="Calibri"/>
          <w:b w:val="0"/>
          <w:i/>
          <w:color w:val="5E6873"/>
          <w:sz w:val="20"/>
        </w:rPr>
        <w:t>The following repository documents are the source of truth for implementation decisions.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hyperlink r:id="rId18">
              <w:r>
                <w:rPr>
                  <w:color w:val="2E74B5"/>
                  <w:u w:val="single"/>
                </w:rPr>
                <w:t>Project overview</w:t>
              </w:r>
            </w:hyperlink>
          </w:p>
        </w:tc>
        <w:tc>
          <w:tcPr>
            <w:tcW w:type="dxa" w:w="67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Routes, tech stack, shipped phases, verification notes and roadmap.</w:t>
            </w:r>
          </w:p>
        </w:tc>
      </w:tr>
      <w:tr>
        <w:tc>
          <w:tcPr>
            <w:tcW w:type="dxa" w:w="26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hyperlink r:id="rId19">
              <w:r>
                <w:rPr>
                  <w:color w:val="2E74B5"/>
                  <w:u w:val="single"/>
                </w:rPr>
                <w:t>3D world</w:t>
              </w:r>
            </w:hyperlink>
          </w:p>
        </w:tc>
        <w:tc>
          <w:tcPr>
            <w:tcW w:type="dxa" w:w="67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World controls, device fallbacks, performance constraints and extension points.</w:t>
            </w:r>
          </w:p>
        </w:tc>
      </w:tr>
      <w:tr>
        <w:tc>
          <w:tcPr>
            <w:tcW w:type="dxa" w:w="26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hyperlink r:id="rId20">
              <w:r>
                <w:rPr>
                  <w:color w:val="2E74B5"/>
                  <w:u w:val="single"/>
                </w:rPr>
                <w:t>Art contract</w:t>
              </w:r>
            </w:hyperlink>
          </w:p>
        </w:tc>
        <w:tc>
          <w:tcPr>
            <w:tcW w:type="dxa" w:w="67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Original-art rules, exact output dimensions, file paths and scene briefs.</w:t>
            </w:r>
          </w:p>
        </w:tc>
      </w:tr>
      <w:tr>
        <w:tc>
          <w:tcPr>
            <w:tcW w:type="dxa" w:w="26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hyperlink r:id="rId21">
              <w:r>
                <w:rPr>
                  <w:color w:val="2E74B5"/>
                  <w:u w:val="single"/>
                </w:rPr>
                <w:t>Backend plan</w:t>
              </w:r>
            </w:hyperlink>
          </w:p>
        </w:tc>
        <w:tc>
          <w:tcPr>
            <w:tcW w:type="dxa" w:w="67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Auth, database schema, roles/RLS and the pre-live migration plan.</w:t>
            </w:r>
          </w:p>
        </w:tc>
      </w:tr>
      <w:tr>
        <w:tc>
          <w:tcPr>
            <w:tcW w:type="dxa" w:w="260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hyperlink r:id="rId22">
              <w:r>
                <w:rPr>
                  <w:color w:val="2E74B5"/>
                  <w:u w:val="single"/>
                </w:rPr>
                <w:t>Motion rules</w:t>
              </w:r>
            </w:hyperlink>
          </w:p>
        </w:tc>
        <w:tc>
          <w:tcPr>
            <w:tcW w:type="dxa" w:w="6760"/>
            <w:tcBorders>
              <w:bottom w:val="single" w:sz="4" w:color="DADCE0"/>
            </w:tcBorders>
          </w:tcPr>
          <w:p>
            <w:pPr>
              <w:keepNext w:val="0"/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27303A"/>
                <w:sz w:val="18"/>
              </w:rPr>
              <w:t>Ownership of timelines, reduced-motion behaviour and known animation pitfalls.</w:t>
            </w:r>
          </w:p>
        </w:tc>
      </w:tr>
    </w:tbl>
    <w:p>
      <w:pPr>
        <w:keepNext w:val="0"/>
        <w:spacing w:before="180" w:after="0" w:line="264" w:lineRule="auto"/>
        <w:jc w:val="left"/>
      </w:pPr>
      <w:r>
        <w:rPr>
          <w:rFonts w:ascii="Calibri" w:hAnsi="Calibri"/>
          <w:b w:val="0"/>
          <w:i/>
          <w:color w:val="5E6873"/>
          <w:sz w:val="18"/>
        </w:rPr>
        <w:t>Visual references used in this handoff are the supplied Fest Realm screen images in assets/Login, assets/Homapage and the two supplied dashboard/mobile UI references. They are direction references; the product must continue using original assets and naming.</w:t>
      </w:r>
    </w:p>
    <w:sectPr w:rsidR="00FC693F" w:rsidRPr="0006063C" w:rsidSect="00034616">
      <w:footerReference w:type="default" r:id="rId9"/>
      <w:pgSz w:w="12240" w:h="15840"/>
      <w:pgMar w:top="1181" w:right="1224" w:bottom="1037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b w:val="0"/>
        <w:i w:val="0"/>
        <w:color w:val="5E6873"/>
        <w:sz w:val="17"/>
      </w:rPr>
      <w:t>Fest Realm · Project handoff</w:t>
    </w:r>
    <w:r>
      <w:t xml:space="preserve">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730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hyperlink" Target="file:///Users/yan/Desktop/Gateways/README.md" TargetMode="External"/><Relationship Id="rId19" Type="http://schemas.openxmlformats.org/officeDocument/2006/relationships/hyperlink" Target="file:///Users/yan/Desktop/Gateways/VOXEL-3D.md" TargetMode="External"/><Relationship Id="rId20" Type="http://schemas.openxmlformats.org/officeDocument/2006/relationships/hyperlink" Target="file:///Users/yan/Desktop/Gateways/ART-ASSETS.md" TargetMode="External"/><Relationship Id="rId21" Type="http://schemas.openxmlformats.org/officeDocument/2006/relationships/hyperlink" Target="file:///Users/yan/Desktop/Gateways/SUPABASE-MIGRATION.md" TargetMode="External"/><Relationship Id="rId22" Type="http://schemas.openxmlformats.org/officeDocument/2006/relationships/hyperlink" Target="file:///Users/yan/Desktop/Gateways/ANIMATION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Fest Realm — Project Design &amp; Implementation Handoff</dc:title>
  <dc:subject>Current progress, visual direction and implementation approach</dc:subject>
  <dc:creator>Fest Realm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