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Data Protection and Retention Policy</w:t>
      </w:r>
    </w:p>
    <w:p>
      <w:r>
        <w:t>Bharat Unity Bank Ltd.</w:t>
      </w:r>
    </w:p>
    <w:tbl>
      <w:tblPr>
        <w:tblStyle w:val="TableGrid"/>
        <w:tblW w:type="auto" w:w="0"/>
        <w:tblLook w:firstColumn="1" w:firstRow="1" w:lastColumn="0" w:lastRow="0" w:noHBand="0" w:noVBand="1" w:val="04A0"/>
      </w:tblPr>
      <w:tblGrid>
        <w:gridCol w:w="4320"/>
        <w:gridCol w:w="4320"/>
      </w:tblGrid>
      <w:tr>
        <w:tc>
          <w:tcPr>
            <w:tcW w:type="dxa" w:w="4320"/>
          </w:tcPr>
          <w:p>
            <w:r>
              <w:t>Policy ID</w:t>
            </w:r>
          </w:p>
        </w:tc>
        <w:tc>
          <w:tcPr>
            <w:tcW w:type="dxa" w:w="4320"/>
          </w:tcPr>
          <w:p>
            <w:r>
              <w:t>DPR-POL</w:t>
            </w:r>
          </w:p>
        </w:tc>
      </w:tr>
      <w:tr>
        <w:tc>
          <w:tcPr>
            <w:tcW w:type="dxa" w:w="4320"/>
          </w:tcPr>
          <w:p>
            <w:r>
              <w:t>Version</w:t>
            </w:r>
          </w:p>
        </w:tc>
        <w:tc>
          <w:tcPr>
            <w:tcW w:type="dxa" w:w="4320"/>
          </w:tcPr>
          <w:p>
            <w:r>
              <w:t>2.0</w:t>
            </w:r>
          </w:p>
        </w:tc>
      </w:tr>
      <w:tr>
        <w:tc>
          <w:tcPr>
            <w:tcW w:type="dxa" w:w="4320"/>
          </w:tcPr>
          <w:p>
            <w:r>
              <w:t>Policy owner</w:t>
            </w:r>
          </w:p>
        </w:tc>
        <w:tc>
          <w:tcPr>
            <w:tcW w:type="dxa" w:w="4320"/>
          </w:tcPr>
          <w:p>
            <w:r>
              <w:t>Data Protection Officer</w:t>
            </w:r>
          </w:p>
        </w:tc>
      </w:tr>
      <w:tr>
        <w:tc>
          <w:tcPr>
            <w:tcW w:type="dxa" w:w="4320"/>
          </w:tcPr>
          <w:p>
            <w:r>
              <w:t>Approved by</w:t>
            </w:r>
          </w:p>
        </w:tc>
        <w:tc>
          <w:tcPr>
            <w:tcW w:type="dxa" w:w="4320"/>
          </w:tcPr>
          <w:p>
            <w:r>
              <w:t>Board Risk Management Committee</w:t>
            </w:r>
          </w:p>
        </w:tc>
      </w:tr>
      <w:tr>
        <w:tc>
          <w:tcPr>
            <w:tcW w:type="dxa" w:w="4320"/>
          </w:tcPr>
          <w:p>
            <w:r>
              <w:t>Approved on</w:t>
            </w:r>
          </w:p>
        </w:tc>
        <w:tc>
          <w:tcPr>
            <w:tcW w:type="dxa" w:w="4320"/>
          </w:tcPr>
          <w:p>
            <w:r>
              <w:t>2024-09-30</w:t>
            </w:r>
          </w:p>
        </w:tc>
      </w:tr>
      <w:tr>
        <w:tc>
          <w:tcPr>
            <w:tcW w:type="dxa" w:w="4320"/>
          </w:tcPr>
          <w:p>
            <w:r>
              <w:t>Last reviewed</w:t>
            </w:r>
          </w:p>
        </w:tc>
        <w:tc>
          <w:tcPr>
            <w:tcW w:type="dxa" w:w="4320"/>
          </w:tcPr>
          <w:p>
            <w:r>
              <w:t>2024-09-30</w:t>
            </w:r>
          </w:p>
        </w:tc>
      </w:tr>
      <w:tr>
        <w:tc>
          <w:tcPr>
            <w:tcW w:type="dxa" w:w="4320"/>
          </w:tcPr>
          <w:p>
            <w:r>
              <w:t>Review frequency</w:t>
            </w:r>
          </w:p>
        </w:tc>
        <w:tc>
          <w:tcPr>
            <w:tcW w:type="dxa" w:w="4320"/>
          </w:tcPr>
          <w:p>
            <w:r>
              <w:t>Annual</w:t>
            </w:r>
          </w:p>
        </w:tc>
      </w:tr>
      <w:tr>
        <w:tc>
          <w:tcPr>
            <w:tcW w:type="dxa" w:w="4320"/>
          </w:tcPr>
          <w:p>
            <w:r>
              <w:t>Classification</w:t>
            </w:r>
          </w:p>
        </w:tc>
        <w:tc>
          <w:tcPr>
            <w:tcW w:type="dxa" w:w="4320"/>
          </w:tcPr>
          <w:p>
            <w:r>
              <w:t>Internal | SYNTHETIC document for hackathon demonstration. Not a real bank policy.</w:t>
            </w:r>
          </w:p>
        </w:tc>
      </w:tr>
    </w:tbl>
    <w:p>
      <w:pPr>
        <w:pStyle w:val="Heading1"/>
      </w:pPr>
      <w:r>
        <w:t>1. Purpose and Scope</w:t>
      </w:r>
    </w:p>
    <w:p>
      <w:r>
        <w:rPr>
          <w:b/>
        </w:rPr>
        <w:t xml:space="preserve">1.1 </w:t>
      </w:r>
      <w:r>
        <w:t>This Policy governs the processing of digital personal data by the Bank in its capacity as a Data Fiduciary under the Digital Personal Data Protection Act, 2023.</w:t>
      </w:r>
    </w:p>
    <w:p>
      <w:pPr>
        <w:pStyle w:val="Heading1"/>
      </w:pPr>
      <w:r>
        <w:t>2. Governance</w:t>
      </w:r>
    </w:p>
    <w:p>
      <w:r>
        <w:rPr>
          <w:b/>
        </w:rPr>
        <w:t xml:space="preserve">2.1 Data Protection Officer [DPR-C01]. </w:t>
      </w:r>
      <w:r>
        <w:t xml:space="preserve">The Bank shall designate a Data Protection Officer based in India who shall be the point of contact for grievance redressal, and shall publish the business contact details of the Data Protection Officer on its website and mobile application. </w:t>
      </w:r>
      <w:r>
        <w:rPr>
          <w:i/>
        </w:rPr>
        <w:t>Control owner: Data Protection Officer. Frequency: Event Driven.</w:t>
      </w:r>
    </w:p>
    <w:p>
      <w:r>
        <w:rPr>
          <w:b/>
        </w:rPr>
        <w:t xml:space="preserve">2.2 DPIA and independent data audit [DPR-C02]. </w:t>
      </w:r>
      <w:r>
        <w:t xml:space="preserve">The Bank shall conduct an annual Data Protection Impact Assessment and an independent data audit, and report the outcome to the Board Risk Management Committee. </w:t>
      </w:r>
      <w:r>
        <w:rPr>
          <w:i/>
        </w:rPr>
        <w:t>Control owner: Data Protection Officer. Frequency: Annual.</w:t>
      </w:r>
    </w:p>
    <w:p>
      <w:pPr>
        <w:pStyle w:val="Heading1"/>
      </w:pPr>
      <w:r>
        <w:t>3. Notice and Consent</w:t>
      </w:r>
    </w:p>
    <w:p>
      <w:r>
        <w:rPr>
          <w:b/>
        </w:rPr>
        <w:t xml:space="preserve">3.1 Privacy notice at collection [DPR-C03]. </w:t>
      </w:r>
      <w:r>
        <w:t xml:space="preserve">Every request for consent shall be accompanied or preceded by a notice describing the personal data to be processed and the purpose of processing, available in English or any language specified in the Eighth Schedule to the Constitution, at the customer's option. </w:t>
      </w:r>
      <w:r>
        <w:rPr>
          <w:i/>
        </w:rPr>
        <w:t>Control owner: Head of Digital Banking. Frequency: Event Driven.</w:t>
      </w:r>
    </w:p>
    <w:p>
      <w:r>
        <w:rPr>
          <w:b/>
        </w:rPr>
        <w:t xml:space="preserve">3.2 Consent capture and logging [DPR-C04]. </w:t>
      </w:r>
      <w:r>
        <w:t xml:space="preserve">Consent shall be obtained through a clear affirmative action, shall be specific to each purpose, and shall be logged with timestamp, purpose code and notice version. </w:t>
      </w:r>
      <w:r>
        <w:rPr>
          <w:i/>
        </w:rPr>
        <w:t>Control owner: Head of Digital Banking. Frequency: Event Driven.</w:t>
      </w:r>
    </w:p>
    <w:p>
      <w:pPr>
        <w:pStyle w:val="Heading1"/>
      </w:pPr>
      <w:r>
        <w:t>4. Purpose Limitation</w:t>
      </w:r>
    </w:p>
    <w:p>
      <w:r>
        <w:rPr>
          <w:b/>
        </w:rPr>
        <w:t xml:space="preserve">4.1 Purpose limitation and data inventory [DPR-C05]. </w:t>
      </w:r>
      <w:r>
        <w:t xml:space="preserve">Personal data shall be processed only for the purpose for which consent was given or for legitimate uses permitted by law, and the Bank shall maintain an inventory of personal data categories, purposes and systems. </w:t>
      </w:r>
      <w:r>
        <w:rPr>
          <w:i/>
        </w:rPr>
        <w:t>Control owner: Data Protection Officer. Frequency: Annual.</w:t>
      </w:r>
    </w:p>
    <w:p>
      <w:r>
        <w:rPr>
          <w:b/>
        </w:rPr>
        <w:t xml:space="preserve">4.2 Children's personal data [DPR-C06]. </w:t>
      </w:r>
      <w:r>
        <w:t xml:space="preserve">Before processing personal data of a child, the Bank shall obtain verifiable consent of the parent or lawful guardian and shall not undertake tracking, behavioural monitoring or targeted advertising directed at children. </w:t>
      </w:r>
      <w:r>
        <w:rPr>
          <w:i/>
        </w:rPr>
        <w:t>Control owner: Head of Retail Banking. Frequency: Event Driven.</w:t>
      </w:r>
    </w:p>
    <w:p>
      <w:pPr>
        <w:pStyle w:val="Heading1"/>
      </w:pPr>
      <w:r>
        <w:t>5. Security Safeguards</w:t>
      </w:r>
    </w:p>
    <w:p>
      <w:r>
        <w:rPr>
          <w:b/>
        </w:rPr>
        <w:t xml:space="preserve">5.1 Reasonable security safeguards [DPR-C07]. </w:t>
      </w:r>
      <w:r>
        <w:t xml:space="preserve">The Bank shall implement reasonable security safeguards, including encryption, masking and access control, to prevent personal data breach. </w:t>
      </w:r>
      <w:r>
        <w:rPr>
          <w:i/>
        </w:rPr>
        <w:t>Control owner: Chief Information Security Officer. Frequency: Continuous.</w:t>
      </w:r>
    </w:p>
    <w:p>
      <w:pPr>
        <w:pStyle w:val="Heading1"/>
      </w:pPr>
      <w:r>
        <w:t>6. Retention and Erasure</w:t>
      </w:r>
    </w:p>
    <w:p>
      <w:r>
        <w:rPr>
          <w:b/>
        </w:rPr>
        <w:t xml:space="preserve">6.1 Retention schedule [DPR-C08]. </w:t>
      </w:r>
      <w:r>
        <w:t xml:space="preserve">Retention periods for each category of personal data shall be specified in the Retention Schedule at Annexure A, which shall be reviewed annually. </w:t>
      </w:r>
      <w:r>
        <w:rPr>
          <w:i/>
        </w:rPr>
        <w:t>Control owner: Data Protection Officer. Frequency: Annual.</w:t>
      </w:r>
    </w:p>
    <w:p>
      <w:r>
        <w:rPr>
          <w:b/>
        </w:rPr>
        <w:t xml:space="preserve">6.2 Erasure after account closure [DPR-C09]. </w:t>
      </w:r>
      <w:r>
        <w:t xml:space="preserve">Personal data of customers whose accounts have been closed, including KYC documents, shall be erased from all systems within 180 days of account closure. </w:t>
      </w:r>
      <w:r>
        <w:rPr>
          <w:i/>
        </w:rPr>
        <w:t>Control owner: Head of Operations. Frequency: Event Driven.</w:t>
      </w:r>
    </w:p>
    <w:p>
      <w:pPr>
        <w:pStyle w:val="Heading1"/>
      </w:pPr>
      <w:r>
        <w:t>7. Rights of Data Principals</w:t>
      </w:r>
    </w:p>
    <w:p>
      <w:r>
        <w:rPr>
          <w:b/>
        </w:rPr>
        <w:t xml:space="preserve">7.1 Data principal requests [DPR-C10]. </w:t>
      </w:r>
      <w:r>
        <w:t xml:space="preserve">Requests from Data Principals for access to, correction, completion or updating of their personal data shall be resolved within 30 days of receipt. </w:t>
      </w:r>
      <w:r>
        <w:rPr>
          <w:i/>
        </w:rPr>
        <w:t>Control owner: Data Protection Officer. Frequency: Event Driven.</w:t>
      </w:r>
    </w:p>
    <w:p>
      <w:pPr>
        <w:pStyle w:val="Heading1"/>
      </w:pPr>
      <w:r>
        <w:t>Annexure A: Retention Schedule</w:t>
      </w:r>
    </w:p>
    <w:p>
      <w:r>
        <w:rPr>
          <w:b/>
        </w:rPr>
        <w:t xml:space="preserve">A.1 </w:t>
      </w:r>
      <w:r>
        <w:t>This Schedule was last reviewed in August 2021 and is aligned with the Information Technology (Reasonable Security Practices and Procedures and Sensitive Personal Data or Information) Rules, 2011.</w:t>
      </w:r>
    </w:p>
    <w:p>
      <w:r>
        <w:rPr>
          <w:b/>
        </w:rPr>
        <w:t xml:space="preserve">A.2 </w:t>
      </w:r>
      <w:r>
        <w:t>Customer identification and KYC documents: 180 days after account closure.</w:t>
      </w:r>
    </w:p>
    <w:p>
      <w:r>
        <w:rPr>
          <w:b/>
        </w:rPr>
        <w:t xml:space="preserve">A.3 </w:t>
      </w:r>
      <w:r>
        <w:t>Account and transaction data: 180 days after account closure, except where retained in books of account.</w:t>
      </w:r>
    </w:p>
    <w:p>
      <w:r>
        <w:rPr>
          <w:b/>
        </w:rPr>
        <w:t xml:space="preserve">A.4 </w:t>
      </w:r>
      <w:r>
        <w:t>CCTV footage at branches: 90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Data Protection and Retention Policy</dc:title>
  <dc:subject/>
  <dc:creator>Data Protection Officer</dc:creator>
  <cp:keywords/>
  <dc:description>generated by python-docx</dc:description>
  <cp:lastModifiedBy/>
  <cp:revision>1</cp:revision>
  <dcterms:created xsi:type="dcterms:W3CDTF">2024-09-30T00:00:00Z</dcterms:created>
  <dcterms:modified xsi:type="dcterms:W3CDTF">2024-09-30T00:00:00Z</dcterms:modified>
  <cp:category/>
</cp:coreProperties>
</file>