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and Cyber Incident Management Policy</w:t>
      </w:r>
    </w:p>
    <w:p>
      <w:r>
        <w:t>Bharat Unity Bank Ltd.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ISB-POL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Policy owner</w:t>
            </w:r>
          </w:p>
        </w:tc>
        <w:tc>
          <w:tcPr>
            <w:tcW w:type="dxa" w:w="4320"/>
          </w:tcPr>
          <w:p>
            <w:r>
              <w:t>Chief Information Security Officer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Board of Directors</w:t>
            </w:r>
          </w:p>
        </w:tc>
      </w:tr>
      <w:tr>
        <w:tc>
          <w:tcPr>
            <w:tcW w:type="dxa" w:w="4320"/>
          </w:tcPr>
          <w:p>
            <w:r>
              <w:t>Approved on</w:t>
            </w:r>
          </w:p>
        </w:tc>
        <w:tc>
          <w:tcPr>
            <w:tcW w:type="dxa" w:w="4320"/>
          </w:tcPr>
          <w:p>
            <w:r>
              <w:t>2024-11-20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2024-11-20</w:t>
            </w:r>
          </w:p>
        </w:tc>
      </w:tr>
      <w:tr>
        <w:tc>
          <w:tcPr>
            <w:tcW w:type="dxa" w:w="4320"/>
          </w:tcPr>
          <w:p>
            <w:r>
              <w:t>Review frequency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| SYNTHETIC document for hackathon demonstration. Not a real bank policy.</w:t>
            </w:r>
          </w:p>
        </w:tc>
      </w:tr>
    </w:tbl>
    <w:p>
      <w:pPr>
        <w:pStyle w:val="Heading1"/>
      </w:pPr>
      <w:r>
        <w:t>1. Purpose and Scope</w:t>
      </w:r>
    </w:p>
    <w:p>
      <w:r>
        <w:rPr>
          <w:b/>
        </w:rPr>
        <w:t xml:space="preserve">1.1 </w:t>
      </w:r>
      <w:r>
        <w:t>This Policy establishes the information security and cyber incident management framework of the Bank for all information assets, including those operated by service providers.</w:t>
      </w:r>
    </w:p>
    <w:p>
      <w:pPr>
        <w:pStyle w:val="Heading1"/>
      </w:pPr>
      <w:r>
        <w:t>2. Governance</w:t>
      </w:r>
    </w:p>
    <w:p>
      <w:r>
        <w:rPr>
          <w:b/>
        </w:rPr>
        <w:t xml:space="preserve">2.1 Board policy and CISO [ISB-C01]. </w:t>
      </w:r>
      <w:r>
        <w:t xml:space="preserve">The Board shall approve this Policy and the Bank shall appoint a Chief Information Security Officer reporting independently of the IT function. </w:t>
      </w:r>
      <w:r>
        <w:rPr>
          <w:i/>
        </w:rPr>
        <w:t>Control owner: Chief Information Security Officer. Frequency: Annual.</w:t>
      </w:r>
    </w:p>
    <w:p>
      <w:pPr>
        <w:pStyle w:val="Heading1"/>
      </w:pPr>
      <w:r>
        <w:t>3. Access Management</w:t>
      </w:r>
    </w:p>
    <w:p>
      <w:r>
        <w:rPr>
          <w:b/>
        </w:rPr>
        <w:t xml:space="preserve">3.1 Role-based access and leaver revocation [ISB-C02]. </w:t>
      </w:r>
      <w:r>
        <w:t xml:space="preserve">Access to information systems shall be granted on a role basis, and access of leavers shall be revoked within one working day of exit. </w:t>
      </w:r>
      <w:r>
        <w:rPr>
          <w:i/>
        </w:rPr>
        <w:t>Control owner: Head of IT Operations. Frequency: Event Driven.</w:t>
      </w:r>
    </w:p>
    <w:p>
      <w:r>
        <w:rPr>
          <w:b/>
        </w:rPr>
        <w:t xml:space="preserve">3.2 Quarterly review of internal privileged accounts [ISB-C03]. </w:t>
      </w:r>
      <w:r>
        <w:t xml:space="preserve">All internal privileged accounts shall be reviewed every quarter by the system owner. </w:t>
      </w:r>
      <w:r>
        <w:rPr>
          <w:i/>
        </w:rPr>
        <w:t>Control owner: System Owners. Frequency: Quarterly.</w:t>
      </w:r>
    </w:p>
    <w:p>
      <w:r>
        <w:rPr>
          <w:b/>
        </w:rPr>
        <w:t xml:space="preserve">3.3 Multi-factor authentication [ISB-C04]. </w:t>
      </w:r>
      <w:r>
        <w:t xml:space="preserve">Multi-factor authentication shall be enforced for all privileged and remote access. </w:t>
      </w:r>
      <w:r>
        <w:rPr>
          <w:i/>
        </w:rPr>
        <w:t>Control owner: Head of IT Operations. Frequency: Continuous.</w:t>
      </w:r>
    </w:p>
    <w:p>
      <w:pPr>
        <w:pStyle w:val="Heading1"/>
      </w:pPr>
      <w:r>
        <w:t>4. Technical Controls</w:t>
      </w:r>
    </w:p>
    <w:p>
      <w:r>
        <w:rPr>
          <w:b/>
        </w:rPr>
        <w:t xml:space="preserve">4.1 Vulnerability management [ISB-C05]. </w:t>
      </w:r>
      <w:r>
        <w:t xml:space="preserve">Vulnerability assessments shall be conducted every quarter, and critical vulnerabilities shall be remediated within 15 days of identification. </w:t>
      </w:r>
      <w:r>
        <w:rPr>
          <w:i/>
        </w:rPr>
        <w:t>Control owner: Chief Information Security Officer. Frequency: Quarterly.</w:t>
      </w:r>
    </w:p>
    <w:p>
      <w:r>
        <w:rPr>
          <w:b/>
        </w:rPr>
        <w:t xml:space="preserve">4.2 Log retention [ISB-C06]. </w:t>
      </w:r>
      <w:r>
        <w:t xml:space="preserve">Logs of all ICT systems shall be maintained securely within Indian jurisdiction for a rolling period of 180 days. </w:t>
      </w:r>
      <w:r>
        <w:rPr>
          <w:i/>
        </w:rPr>
        <w:t>Control owner: Head of IT Operations. Frequency: Continuous.</w:t>
      </w:r>
    </w:p>
    <w:p>
      <w:r>
        <w:rPr>
          <w:b/>
        </w:rPr>
        <w:t xml:space="preserve">4.3 Encryption standards [ISB-C07]. </w:t>
      </w:r>
      <w:r>
        <w:t xml:space="preserve">Data at rest shall be encrypted using AES-256 or stronger and data in transit shall be protected using TLS 1.2 or higher. </w:t>
      </w:r>
      <w:r>
        <w:rPr>
          <w:i/>
        </w:rPr>
        <w:t>Control owner: Chief Information Security Officer. Frequency: Continuous.</w:t>
      </w:r>
    </w:p>
    <w:p>
      <w:pPr>
        <w:pStyle w:val="Heading1"/>
      </w:pPr>
      <w:r>
        <w:t>5. Incident Management</w:t>
      </w:r>
    </w:p>
    <w:p>
      <w:r>
        <w:rPr>
          <w:b/>
        </w:rPr>
        <w:t xml:space="preserve">5.1 Cyber incident reporting [ISB-C08]. </w:t>
      </w:r>
      <w:r>
        <w:t xml:space="preserve">Cyber security incidents shall be reported to CERT-In within six hours of being noticed and to the Reserve Bank of India within the timelines prescribed by it. </w:t>
      </w:r>
      <w:r>
        <w:rPr>
          <w:i/>
        </w:rPr>
        <w:t>Control owner: Chief Information Security Officer. Frequency: Event Driven.</w:t>
      </w:r>
    </w:p>
    <w:p>
      <w:pPr>
        <w:pStyle w:val="Heading1"/>
      </w:pPr>
      <w:r>
        <w:t>6. Awareness</w:t>
      </w:r>
    </w:p>
    <w:p>
      <w:r>
        <w:rPr>
          <w:b/>
        </w:rPr>
        <w:t xml:space="preserve">6.1 Security awareness training [ISB-C09]. </w:t>
      </w:r>
      <w:r>
        <w:t xml:space="preserve">All employees shall complete information security awareness training annually. </w:t>
      </w:r>
      <w:r>
        <w:rPr>
          <w:i/>
        </w:rPr>
        <w:t>Control owner: Head of HR. Frequency: Annual.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and Cyber Incident Management Policy</dc:title>
  <dc:subject/>
  <dc:creator>Chief Information Security Officer</dc:creator>
  <cp:keywords/>
  <dc:description>generated by python-docx</dc:description>
  <cp:lastModifiedBy/>
  <cp:revision>1</cp:revision>
  <dcterms:created xsi:type="dcterms:W3CDTF">2024-11-20T00:00:00Z</dcterms:created>
  <dcterms:modified xsi:type="dcterms:W3CDTF">2024-11-20T00:00:00Z</dcterms:modified>
  <cp:category/>
</cp:coreProperties>
</file>