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Outsourcing of IT Services Directions - Demo Excerpt</w:t>
      </w:r>
    </w:p>
    <w:p>
      <w:r>
        <w:t>SYNTHETIC DEMO EXCERPT: paraphrased for a hackathon demonstration. Not the official text; clause numbering is illustrative. Verify against the official publication.</w:t>
      </w:r>
    </w:p>
    <w:p>
      <w:r>
        <w:t>CHAPTER I Governance</w:t>
      </w:r>
    </w:p>
    <w:p>
      <w:r>
        <w:t>1. Every RE shall put in place a Board approved policy on IT outsourcing.</w:t>
      </w:r>
    </w:p>
    <w:p>
      <w:r>
        <w:t>2. The IT Strategy Committee of the RE shall exercise oversight of all IT outsourcing arrangements.</w:t>
      </w:r>
    </w:p>
    <w:p>
      <w:r>
        <w:t>CHAPTER II Engagement of Service Providers</w:t>
      </w:r>
    </w:p>
    <w:p>
      <w:r>
        <w:t>3. The RE shall assess the materiality of each outsourcing arrangement before entering into it.</w:t>
      </w:r>
    </w:p>
    <w:p>
      <w:r>
        <w:t>4. The RE shall maintain an inventory of all outsourced IT services.</w:t>
      </w:r>
    </w:p>
    <w:p>
      <w:r>
        <w:t>5. The RE shall carry out due diligence of the service provider before outsourcing.</w:t>
      </w:r>
    </w:p>
    <w:p>
      <w:r>
        <w:t>6. The RE shall ensure that the agreement provides access and audit rights to the regulated entity and to the RBI.</w:t>
      </w:r>
    </w:p>
    <w:p>
      <w:r>
        <w:t>7. The RE shall ensure that the agreement covers confidentiality, sub-contracting and termination.</w:t>
      </w:r>
    </w:p>
    <w:p>
      <w:r>
        <w:t>CHAPTER III Monitoring</w:t>
      </w:r>
    </w:p>
    <w:p>
      <w:r>
        <w:t>8. The RE shall undertake periodic risk assessment and performance monitoring of service providers.</w:t>
      </w:r>
    </w:p>
    <w:p>
      <w:r>
        <w:t>9. The RE shall put in place controls over service provider access to regulated entity systems and data.</w:t>
      </w:r>
    </w:p>
    <w:p>
      <w:r>
        <w:t>10. The RE shall monitor the concentration risk of service providers.</w:t>
      </w:r>
    </w:p>
    <w:p>
      <w:r>
        <w:t>CHAPTER IV Business Continuity and Exit</w:t>
      </w:r>
    </w:p>
    <w:p>
      <w:r>
        <w:t>11. The RE shall ensure that a business continuity and disaster recovery plan with the service provider is in place and periodically tested.</w:t>
      </w:r>
    </w:p>
    <w:p>
      <w:r>
        <w:t>12. The RE shall have an exit strategy for outsourcing arrangements.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