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 Your Customer (KYC) Directions - Demo Excerpt</w:t>
      </w:r>
    </w:p>
    <w:p>
      <w:r>
        <w:t>SYNTHETIC DEMO EXCERPT: paraphrased for a hackathon demonstration. Not the official text; clause numbering is illustrative. Verify against the official publication.</w:t>
      </w:r>
    </w:p>
    <w:p>
      <w:r>
        <w:t>CHAPTER I Preliminary</w:t>
      </w:r>
    </w:p>
    <w:p>
      <w:r>
        <w:t>1. These Directions apply to every Regulated Entity (RE), including scheduled commercial banks, unless stated otherwise.</w:t>
      </w:r>
    </w:p>
    <w:p>
      <w:r>
        <w:t>2. Terms such as Officially Valid Document and Principal Officer carry their meaning under the PML Rules.</w:t>
      </w:r>
    </w:p>
    <w:p>
      <w:r>
        <w:t>CHAPTER II Governance</w:t>
      </w:r>
    </w:p>
    <w:p>
      <w:r>
        <w:t>3. Every RE shall have a KYC policy duly approved by its Board of Directors.</w:t>
      </w:r>
    </w:p>
    <w:p>
      <w:r>
        <w:t>4. Every RE shall nominate a Designated Director and a Principal Officer and communicate their names and contact details to FIU-IND.</w:t>
      </w:r>
    </w:p>
    <w:p>
      <w:r>
        <w:t>CHAPTER III Customer Acceptance and Identification</w:t>
      </w:r>
    </w:p>
    <w:p>
      <w:r>
        <w:t>5. No RE shall open an account in an anonymous or fictitious or benami name.</w:t>
      </w:r>
    </w:p>
    <w:p>
      <w:r>
        <w:t>6. Every RE shall undertake customer due diligence using an Officially Valid Document or Aadhaar e-KYC authentication.</w:t>
      </w:r>
    </w:p>
    <w:p>
      <w:r>
        <w:t>7. Where the customer is a legal entity, the RE shall identify the beneficial owner and take reasonable measures to verify the identity of the beneficial owner.</w:t>
      </w:r>
    </w:p>
    <w:p>
      <w:r>
        <w:t>8. Before opening an account, the RE shall verify that the customer does not appear in the UNSC sanctions lists or the lists of individuals and entities designated under the UAPA.</w:t>
      </w:r>
    </w:p>
    <w:p>
      <w:r>
        <w:t>9. Video-based Customer Identification Process (V-CIP) shall be conducted only by a trained official of the RE, with end-to-end recording, geo-tagging of the customer and a liveness check.</w:t>
      </w:r>
    </w:p>
    <w:p>
      <w:r>
        <w:t>10. Every RE shall upload the KYC records of individual customers to the Central KYC Records Registry (CKYCR) within ten days of commencement of an account-based relationship.</w:t>
      </w:r>
    </w:p>
    <w:p>
      <w:r>
        <w:t>CHAPTER IV Risk Management</w:t>
      </w:r>
    </w:p>
    <w:p>
      <w:r>
        <w:t>11. Every RE shall carry out risk categorisation of customers as low, medium or high risk.</w:t>
      </w:r>
    </w:p>
    <w:p>
      <w:r>
        <w:t>12. Periodic updation of KYC shall be carried out as under:</w:t>
      </w:r>
    </w:p>
    <w:p>
      <w:r>
        <w:t>(a) at least once in every two years for high risk customers;</w:t>
      </w:r>
    </w:p>
    <w:p>
      <w:r>
        <w:t>(b) at least once in every eight years for medium risk customers;</w:t>
      </w:r>
    </w:p>
    <w:p>
      <w:r>
        <w:t>(c) at least once in every ten years for low risk customers.</w:t>
      </w:r>
    </w:p>
    <w:p>
      <w:r>
        <w:t>CHAPTER V Reporting and Record Keeping</w:t>
      </w:r>
    </w:p>
    <w:p>
      <w:r>
        <w:t>13. Every RE shall report suspicious transactions to FIU-IND within seven working days of arriving at a conclusion that a transaction is suspicious.</w:t>
      </w:r>
    </w:p>
    <w:p>
      <w:r>
        <w:t>14. Every RE shall furnish cash transaction reports to FIU-IND for every month by the 15th day of the succeeding month.</w:t>
      </w:r>
    </w:p>
    <w:p>
      <w:r>
        <w:t>15. Every RE shall preserve records of transactions and of identification of customers for at least five years after the business relationship has ended or the account has been closed, whichever is later.</w:t>
      </w:r>
    </w:p>
    <w:p>
      <w:r>
        <w:t>CHAPTER VI Specific Entities</w:t>
      </w:r>
    </w:p>
    <w:p>
      <w:r>
        <w:t>16. Payments Banks shall not open accounts for customers whose end-of-day balance would exceed the limit prescribed for Payments Banks.</w:t>
      </w:r>
    </w:p>
    <w:p>
      <w:r>
        <w:t>17. The Reserve Bank may issue clarifications on these Directions from time to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