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0"/>
        <w:gridCol w:w="5596"/>
      </w:tblGrid>
      <w:tr w:rsidR="00196CEB" w:rsidRPr="00196CEB" w14:paraId="5580FC22" w14:textId="77777777">
        <w:trPr>
          <w:tblHeader/>
          <w:tblCellSpacing w:w="15" w:type="dxa"/>
        </w:trPr>
        <w:tc>
          <w:tcPr>
            <w:tcW w:w="0" w:type="auto"/>
            <w:vAlign w:val="center"/>
            <w:hideMark/>
          </w:tcPr>
          <w:p w14:paraId="3F61C55C" w14:textId="77777777" w:rsidR="00196CEB" w:rsidRPr="00196CEB" w:rsidRDefault="00196CEB" w:rsidP="00196CEB">
            <w:pPr>
              <w:rPr>
                <w:b/>
                <w:bCs/>
              </w:rPr>
            </w:pPr>
            <w:r w:rsidRPr="00196CEB">
              <w:rPr>
                <w:b/>
                <w:bCs/>
              </w:rPr>
              <w:t>KRI</w:t>
            </w:r>
          </w:p>
        </w:tc>
        <w:tc>
          <w:tcPr>
            <w:tcW w:w="0" w:type="auto"/>
            <w:vAlign w:val="center"/>
            <w:hideMark/>
          </w:tcPr>
          <w:p w14:paraId="24DD3683" w14:textId="77777777" w:rsidR="00196CEB" w:rsidRPr="00196CEB" w:rsidRDefault="00196CEB" w:rsidP="00196CEB">
            <w:pPr>
              <w:rPr>
                <w:b/>
                <w:bCs/>
              </w:rPr>
            </w:pPr>
            <w:r w:rsidRPr="00196CEB">
              <w:rPr>
                <w:b/>
                <w:bCs/>
              </w:rPr>
              <w:t>What it indicates</w:t>
            </w:r>
          </w:p>
        </w:tc>
      </w:tr>
      <w:tr w:rsidR="00196CEB" w:rsidRPr="00196CEB" w14:paraId="71AC2B77" w14:textId="77777777">
        <w:trPr>
          <w:tblCellSpacing w:w="15" w:type="dxa"/>
        </w:trPr>
        <w:tc>
          <w:tcPr>
            <w:tcW w:w="0" w:type="auto"/>
            <w:vAlign w:val="center"/>
            <w:hideMark/>
          </w:tcPr>
          <w:p w14:paraId="50557533" w14:textId="77777777" w:rsidR="00196CEB" w:rsidRPr="00196CEB" w:rsidRDefault="00196CEB" w:rsidP="00196CEB">
            <w:pPr>
              <w:rPr>
                <w:b/>
                <w:bCs/>
              </w:rPr>
            </w:pPr>
            <w:r w:rsidRPr="00196CEB">
              <w:rPr>
                <w:b/>
                <w:bCs/>
              </w:rPr>
              <w:t>Critical &amp; High-Severity Open Incidents</w:t>
            </w:r>
          </w:p>
        </w:tc>
        <w:tc>
          <w:tcPr>
            <w:tcW w:w="0" w:type="auto"/>
            <w:vAlign w:val="center"/>
            <w:hideMark/>
          </w:tcPr>
          <w:p w14:paraId="797DFEFD" w14:textId="77777777" w:rsidR="00196CEB" w:rsidRPr="00196CEB" w:rsidRDefault="00196CEB" w:rsidP="00196CEB">
            <w:pPr>
              <w:rPr>
                <w:b/>
                <w:bCs/>
              </w:rPr>
            </w:pPr>
            <w:r w:rsidRPr="00196CEB">
              <w:rPr>
                <w:b/>
                <w:bCs/>
              </w:rPr>
              <w:t>Current unresolved security risk</w:t>
            </w:r>
          </w:p>
        </w:tc>
      </w:tr>
      <w:tr w:rsidR="00196CEB" w:rsidRPr="00196CEB" w14:paraId="39D5B16F" w14:textId="77777777">
        <w:trPr>
          <w:tblCellSpacing w:w="15" w:type="dxa"/>
        </w:trPr>
        <w:tc>
          <w:tcPr>
            <w:tcW w:w="0" w:type="auto"/>
            <w:vAlign w:val="center"/>
            <w:hideMark/>
          </w:tcPr>
          <w:p w14:paraId="750C624C" w14:textId="77777777" w:rsidR="00196CEB" w:rsidRPr="00196CEB" w:rsidRDefault="00196CEB" w:rsidP="00196CEB">
            <w:pPr>
              <w:rPr>
                <w:b/>
                <w:bCs/>
              </w:rPr>
            </w:pPr>
            <w:r w:rsidRPr="00196CEB">
              <w:rPr>
                <w:b/>
                <w:bCs/>
              </w:rPr>
              <w:t>Incidents Breaching SLA</w:t>
            </w:r>
          </w:p>
        </w:tc>
        <w:tc>
          <w:tcPr>
            <w:tcW w:w="0" w:type="auto"/>
            <w:vAlign w:val="center"/>
            <w:hideMark/>
          </w:tcPr>
          <w:p w14:paraId="7723F75D" w14:textId="77777777" w:rsidR="00196CEB" w:rsidRPr="00196CEB" w:rsidRDefault="00196CEB" w:rsidP="00196CEB">
            <w:pPr>
              <w:rPr>
                <w:b/>
                <w:bCs/>
              </w:rPr>
            </w:pPr>
            <w:r w:rsidRPr="00196CEB">
              <w:rPr>
                <w:b/>
                <w:bCs/>
              </w:rPr>
              <w:t>Risk caused by delayed investigation or resolution</w:t>
            </w:r>
          </w:p>
        </w:tc>
      </w:tr>
      <w:tr w:rsidR="00196CEB" w:rsidRPr="00196CEB" w14:paraId="395F95DF" w14:textId="77777777">
        <w:trPr>
          <w:tblCellSpacing w:w="15" w:type="dxa"/>
        </w:trPr>
        <w:tc>
          <w:tcPr>
            <w:tcW w:w="0" w:type="auto"/>
            <w:vAlign w:val="center"/>
            <w:hideMark/>
          </w:tcPr>
          <w:p w14:paraId="5604B289" w14:textId="77777777" w:rsidR="00196CEB" w:rsidRPr="00196CEB" w:rsidRDefault="00196CEB" w:rsidP="00196CEB">
            <w:pPr>
              <w:rPr>
                <w:b/>
                <w:bCs/>
              </w:rPr>
            </w:pPr>
            <w:r w:rsidRPr="00196CEB">
              <w:rPr>
                <w:b/>
                <w:bCs/>
              </w:rPr>
              <w:t>Incident Ageing</w:t>
            </w:r>
          </w:p>
        </w:tc>
        <w:tc>
          <w:tcPr>
            <w:tcW w:w="0" w:type="auto"/>
            <w:vAlign w:val="center"/>
            <w:hideMark/>
          </w:tcPr>
          <w:p w14:paraId="0D4208FD" w14:textId="77777777" w:rsidR="00196CEB" w:rsidRPr="00196CEB" w:rsidRDefault="00196CEB" w:rsidP="00196CEB">
            <w:pPr>
              <w:rPr>
                <w:b/>
                <w:bCs/>
              </w:rPr>
            </w:pPr>
            <w:r w:rsidRPr="00196CEB">
              <w:rPr>
                <w:b/>
                <w:bCs/>
              </w:rPr>
              <w:t>Long-pending incidents that may increase business impact</w:t>
            </w:r>
          </w:p>
        </w:tc>
      </w:tr>
      <w:tr w:rsidR="00196CEB" w:rsidRPr="00196CEB" w14:paraId="7F6E1B24" w14:textId="77777777">
        <w:trPr>
          <w:tblCellSpacing w:w="15" w:type="dxa"/>
        </w:trPr>
        <w:tc>
          <w:tcPr>
            <w:tcW w:w="0" w:type="auto"/>
            <w:vAlign w:val="center"/>
            <w:hideMark/>
          </w:tcPr>
          <w:p w14:paraId="23055C30" w14:textId="77777777" w:rsidR="00196CEB" w:rsidRPr="00196CEB" w:rsidRDefault="00196CEB" w:rsidP="00196CEB">
            <w:pPr>
              <w:rPr>
                <w:b/>
                <w:bCs/>
              </w:rPr>
            </w:pPr>
            <w:r w:rsidRPr="00196CEB">
              <w:rPr>
                <w:b/>
                <w:bCs/>
              </w:rPr>
              <w:t>Repeat Security Incidents</w:t>
            </w:r>
          </w:p>
        </w:tc>
        <w:tc>
          <w:tcPr>
            <w:tcW w:w="0" w:type="auto"/>
            <w:vAlign w:val="center"/>
            <w:hideMark/>
          </w:tcPr>
          <w:p w14:paraId="1FAE5E8D" w14:textId="77777777" w:rsidR="00196CEB" w:rsidRPr="00196CEB" w:rsidRDefault="00196CEB" w:rsidP="00196CEB">
            <w:pPr>
              <w:rPr>
                <w:b/>
                <w:bCs/>
              </w:rPr>
            </w:pPr>
            <w:r w:rsidRPr="00196CEB">
              <w:rPr>
                <w:b/>
                <w:bCs/>
              </w:rPr>
              <w:t>Recurring threats or unresolved root causes</w:t>
            </w:r>
          </w:p>
        </w:tc>
      </w:tr>
      <w:tr w:rsidR="00196CEB" w:rsidRPr="00196CEB" w14:paraId="58CE80C3" w14:textId="77777777">
        <w:trPr>
          <w:tblCellSpacing w:w="15" w:type="dxa"/>
        </w:trPr>
        <w:tc>
          <w:tcPr>
            <w:tcW w:w="0" w:type="auto"/>
            <w:vAlign w:val="center"/>
            <w:hideMark/>
          </w:tcPr>
          <w:p w14:paraId="3E141EB4" w14:textId="77777777" w:rsidR="00196CEB" w:rsidRPr="00196CEB" w:rsidRDefault="00196CEB" w:rsidP="00196CEB">
            <w:pPr>
              <w:rPr>
                <w:b/>
                <w:bCs/>
              </w:rPr>
            </w:pPr>
            <w:r w:rsidRPr="00196CEB">
              <w:rPr>
                <w:b/>
                <w:bCs/>
              </w:rPr>
              <w:t>High-Risk Assets Affected</w:t>
            </w:r>
          </w:p>
        </w:tc>
        <w:tc>
          <w:tcPr>
            <w:tcW w:w="0" w:type="auto"/>
            <w:vAlign w:val="center"/>
            <w:hideMark/>
          </w:tcPr>
          <w:p w14:paraId="24EAA527" w14:textId="77777777" w:rsidR="00196CEB" w:rsidRPr="00196CEB" w:rsidRDefault="00196CEB" w:rsidP="00196CEB">
            <w:pPr>
              <w:rPr>
                <w:b/>
                <w:bCs/>
              </w:rPr>
            </w:pPr>
            <w:r w:rsidRPr="00196CEB">
              <w:rPr>
                <w:b/>
                <w:bCs/>
              </w:rPr>
              <w:t>Incidents impacting critical servers, applications, or business systems</w:t>
            </w:r>
          </w:p>
        </w:tc>
      </w:tr>
      <w:tr w:rsidR="00196CEB" w:rsidRPr="00196CEB" w14:paraId="10FACDFA" w14:textId="77777777">
        <w:trPr>
          <w:tblCellSpacing w:w="15" w:type="dxa"/>
        </w:trPr>
        <w:tc>
          <w:tcPr>
            <w:tcW w:w="0" w:type="auto"/>
            <w:vAlign w:val="center"/>
            <w:hideMark/>
          </w:tcPr>
          <w:p w14:paraId="052EB081" w14:textId="77777777" w:rsidR="00196CEB" w:rsidRPr="00196CEB" w:rsidRDefault="00196CEB" w:rsidP="00196CEB">
            <w:pPr>
              <w:rPr>
                <w:b/>
                <w:bCs/>
              </w:rPr>
            </w:pPr>
            <w:r w:rsidRPr="00196CEB">
              <w:rPr>
                <w:b/>
                <w:bCs/>
              </w:rPr>
              <w:t>Unpatched Critical Vulnerabilities</w:t>
            </w:r>
          </w:p>
        </w:tc>
        <w:tc>
          <w:tcPr>
            <w:tcW w:w="0" w:type="auto"/>
            <w:vAlign w:val="center"/>
            <w:hideMark/>
          </w:tcPr>
          <w:p w14:paraId="6B35FB69" w14:textId="77777777" w:rsidR="00196CEB" w:rsidRPr="00196CEB" w:rsidRDefault="00196CEB" w:rsidP="00196CEB">
            <w:pPr>
              <w:rPr>
                <w:b/>
                <w:bCs/>
              </w:rPr>
            </w:pPr>
            <w:r w:rsidRPr="00196CEB">
              <w:rPr>
                <w:b/>
                <w:bCs/>
              </w:rPr>
              <w:t>Exposure caused by missing security patches</w:t>
            </w:r>
          </w:p>
        </w:tc>
      </w:tr>
      <w:tr w:rsidR="00196CEB" w:rsidRPr="00196CEB" w14:paraId="3AB7F6BF" w14:textId="77777777">
        <w:trPr>
          <w:tblCellSpacing w:w="15" w:type="dxa"/>
        </w:trPr>
        <w:tc>
          <w:tcPr>
            <w:tcW w:w="0" w:type="auto"/>
            <w:vAlign w:val="center"/>
            <w:hideMark/>
          </w:tcPr>
          <w:p w14:paraId="00BCB9C7" w14:textId="77777777" w:rsidR="00196CEB" w:rsidRPr="00196CEB" w:rsidRDefault="00196CEB" w:rsidP="00196CEB">
            <w:pPr>
              <w:rPr>
                <w:b/>
                <w:bCs/>
              </w:rPr>
            </w:pPr>
            <w:r w:rsidRPr="00196CEB">
              <w:rPr>
                <w:b/>
                <w:bCs/>
              </w:rPr>
              <w:t>Critical Vulnerability Ageing</w:t>
            </w:r>
          </w:p>
        </w:tc>
        <w:tc>
          <w:tcPr>
            <w:tcW w:w="0" w:type="auto"/>
            <w:vAlign w:val="center"/>
            <w:hideMark/>
          </w:tcPr>
          <w:p w14:paraId="632FC57B" w14:textId="77777777" w:rsidR="00196CEB" w:rsidRPr="00196CEB" w:rsidRDefault="00196CEB" w:rsidP="00196CEB">
            <w:pPr>
              <w:rPr>
                <w:b/>
                <w:bCs/>
              </w:rPr>
            </w:pPr>
            <w:r w:rsidRPr="00196CEB">
              <w:rPr>
                <w:b/>
                <w:bCs/>
              </w:rPr>
              <w:t>How long critical vulnerabilities remain unresolved</w:t>
            </w:r>
          </w:p>
        </w:tc>
      </w:tr>
      <w:tr w:rsidR="00196CEB" w:rsidRPr="00196CEB" w14:paraId="1D7EA392" w14:textId="77777777">
        <w:trPr>
          <w:tblCellSpacing w:w="15" w:type="dxa"/>
        </w:trPr>
        <w:tc>
          <w:tcPr>
            <w:tcW w:w="0" w:type="auto"/>
            <w:vAlign w:val="center"/>
            <w:hideMark/>
          </w:tcPr>
          <w:p w14:paraId="3E81D461" w14:textId="77777777" w:rsidR="00196CEB" w:rsidRPr="00196CEB" w:rsidRDefault="00196CEB" w:rsidP="00196CEB">
            <w:pPr>
              <w:rPr>
                <w:b/>
                <w:bCs/>
              </w:rPr>
            </w:pPr>
            <w:r w:rsidRPr="00196CEB">
              <w:rPr>
                <w:b/>
                <w:bCs/>
              </w:rPr>
              <w:t>Threat Detection Coverage Gap</w:t>
            </w:r>
          </w:p>
        </w:tc>
        <w:tc>
          <w:tcPr>
            <w:tcW w:w="0" w:type="auto"/>
            <w:vAlign w:val="center"/>
            <w:hideMark/>
          </w:tcPr>
          <w:p w14:paraId="15BD62A9" w14:textId="77777777" w:rsidR="00196CEB" w:rsidRPr="00196CEB" w:rsidRDefault="00196CEB" w:rsidP="00196CEB">
            <w:pPr>
              <w:rPr>
                <w:b/>
                <w:bCs/>
              </w:rPr>
            </w:pPr>
            <w:r w:rsidRPr="00196CEB">
              <w:rPr>
                <w:b/>
                <w:bCs/>
              </w:rPr>
              <w:t>Assets or systems not covered by SIEM, EDR, or security monitoring</w:t>
            </w:r>
          </w:p>
        </w:tc>
      </w:tr>
      <w:tr w:rsidR="00196CEB" w:rsidRPr="00196CEB" w14:paraId="59DCDF41" w14:textId="77777777">
        <w:trPr>
          <w:tblCellSpacing w:w="15" w:type="dxa"/>
        </w:trPr>
        <w:tc>
          <w:tcPr>
            <w:tcW w:w="0" w:type="auto"/>
            <w:vAlign w:val="center"/>
            <w:hideMark/>
          </w:tcPr>
          <w:p w14:paraId="1E55D808" w14:textId="77777777" w:rsidR="00196CEB" w:rsidRPr="00196CEB" w:rsidRDefault="00196CEB" w:rsidP="00196CEB">
            <w:pPr>
              <w:rPr>
                <w:b/>
                <w:bCs/>
              </w:rPr>
            </w:pPr>
            <w:r w:rsidRPr="00196CEB">
              <w:rPr>
                <w:b/>
                <w:bCs/>
              </w:rPr>
              <w:t>MITRE ATT&amp;CK Coverage Gap</w:t>
            </w:r>
          </w:p>
        </w:tc>
        <w:tc>
          <w:tcPr>
            <w:tcW w:w="0" w:type="auto"/>
            <w:vAlign w:val="center"/>
            <w:hideMark/>
          </w:tcPr>
          <w:p w14:paraId="5E4D6307" w14:textId="77777777" w:rsidR="00196CEB" w:rsidRPr="00196CEB" w:rsidRDefault="00196CEB" w:rsidP="00196CEB">
            <w:pPr>
              <w:rPr>
                <w:b/>
                <w:bCs/>
              </w:rPr>
            </w:pPr>
            <w:r w:rsidRPr="00196CEB">
              <w:rPr>
                <w:b/>
                <w:bCs/>
              </w:rPr>
              <w:t>Attack techniques with insufficient detection capability</w:t>
            </w:r>
          </w:p>
        </w:tc>
      </w:tr>
      <w:tr w:rsidR="00196CEB" w:rsidRPr="00196CEB" w14:paraId="06ABF396" w14:textId="77777777">
        <w:trPr>
          <w:tblCellSpacing w:w="15" w:type="dxa"/>
        </w:trPr>
        <w:tc>
          <w:tcPr>
            <w:tcW w:w="0" w:type="auto"/>
            <w:vAlign w:val="center"/>
            <w:hideMark/>
          </w:tcPr>
          <w:p w14:paraId="096DA70B" w14:textId="77777777" w:rsidR="00196CEB" w:rsidRPr="00196CEB" w:rsidRDefault="00196CEB" w:rsidP="00196CEB">
            <w:pPr>
              <w:rPr>
                <w:b/>
                <w:bCs/>
              </w:rPr>
            </w:pPr>
            <w:r w:rsidRPr="00196CEB">
              <w:rPr>
                <w:b/>
                <w:bCs/>
              </w:rPr>
              <w:t>Privileged Account Security Incidents</w:t>
            </w:r>
          </w:p>
        </w:tc>
        <w:tc>
          <w:tcPr>
            <w:tcW w:w="0" w:type="auto"/>
            <w:vAlign w:val="center"/>
            <w:hideMark/>
          </w:tcPr>
          <w:p w14:paraId="4EAE1016" w14:textId="77777777" w:rsidR="00196CEB" w:rsidRPr="00196CEB" w:rsidRDefault="00196CEB" w:rsidP="00196CEB">
            <w:pPr>
              <w:rPr>
                <w:b/>
                <w:bCs/>
              </w:rPr>
            </w:pPr>
            <w:r w:rsidRPr="00196CEB">
              <w:rPr>
                <w:b/>
                <w:bCs/>
              </w:rPr>
              <w:t>Risk involving admin or high-access accounts</w:t>
            </w:r>
          </w:p>
        </w:tc>
      </w:tr>
      <w:tr w:rsidR="00196CEB" w:rsidRPr="00196CEB" w14:paraId="07350AAE" w14:textId="77777777">
        <w:trPr>
          <w:tblCellSpacing w:w="15" w:type="dxa"/>
        </w:trPr>
        <w:tc>
          <w:tcPr>
            <w:tcW w:w="0" w:type="auto"/>
            <w:vAlign w:val="center"/>
            <w:hideMark/>
          </w:tcPr>
          <w:p w14:paraId="0DAC81EF" w14:textId="77777777" w:rsidR="00196CEB" w:rsidRPr="00196CEB" w:rsidRDefault="00196CEB" w:rsidP="00196CEB">
            <w:pPr>
              <w:rPr>
                <w:b/>
                <w:bCs/>
              </w:rPr>
            </w:pPr>
            <w:r w:rsidRPr="00196CEB">
              <w:rPr>
                <w:b/>
                <w:bCs/>
              </w:rPr>
              <w:t>Compromised User Accounts</w:t>
            </w:r>
          </w:p>
        </w:tc>
        <w:tc>
          <w:tcPr>
            <w:tcW w:w="0" w:type="auto"/>
            <w:vAlign w:val="center"/>
            <w:hideMark/>
          </w:tcPr>
          <w:p w14:paraId="2E016965" w14:textId="77777777" w:rsidR="00196CEB" w:rsidRPr="00196CEB" w:rsidRDefault="00196CEB" w:rsidP="00196CEB">
            <w:pPr>
              <w:rPr>
                <w:b/>
                <w:bCs/>
              </w:rPr>
            </w:pPr>
            <w:r w:rsidRPr="00196CEB">
              <w:rPr>
                <w:b/>
                <w:bCs/>
              </w:rPr>
              <w:t>Potential identity and unauthorized-access risk</w:t>
            </w:r>
          </w:p>
        </w:tc>
      </w:tr>
      <w:tr w:rsidR="00196CEB" w:rsidRPr="00196CEB" w14:paraId="1195956A" w14:textId="77777777">
        <w:trPr>
          <w:tblCellSpacing w:w="15" w:type="dxa"/>
        </w:trPr>
        <w:tc>
          <w:tcPr>
            <w:tcW w:w="0" w:type="auto"/>
            <w:vAlign w:val="center"/>
            <w:hideMark/>
          </w:tcPr>
          <w:p w14:paraId="18E77786" w14:textId="77777777" w:rsidR="00196CEB" w:rsidRPr="00196CEB" w:rsidRDefault="00196CEB" w:rsidP="00196CEB">
            <w:pPr>
              <w:rPr>
                <w:b/>
                <w:bCs/>
              </w:rPr>
            </w:pPr>
            <w:r w:rsidRPr="00196CEB">
              <w:rPr>
                <w:b/>
                <w:bCs/>
              </w:rPr>
              <w:t>Phishing Click / Failure Rate</w:t>
            </w:r>
          </w:p>
        </w:tc>
        <w:tc>
          <w:tcPr>
            <w:tcW w:w="0" w:type="auto"/>
            <w:vAlign w:val="center"/>
            <w:hideMark/>
          </w:tcPr>
          <w:p w14:paraId="02E12002" w14:textId="77777777" w:rsidR="00196CEB" w:rsidRPr="00196CEB" w:rsidRDefault="00196CEB" w:rsidP="00196CEB">
            <w:pPr>
              <w:rPr>
                <w:b/>
                <w:bCs/>
              </w:rPr>
            </w:pPr>
            <w:r w:rsidRPr="00196CEB">
              <w:rPr>
                <w:b/>
                <w:bCs/>
              </w:rPr>
              <w:t>Employee susceptibility to phishing attacks</w:t>
            </w:r>
          </w:p>
        </w:tc>
      </w:tr>
      <w:tr w:rsidR="00196CEB" w:rsidRPr="00196CEB" w14:paraId="36A357B7" w14:textId="77777777">
        <w:trPr>
          <w:tblCellSpacing w:w="15" w:type="dxa"/>
        </w:trPr>
        <w:tc>
          <w:tcPr>
            <w:tcW w:w="0" w:type="auto"/>
            <w:vAlign w:val="center"/>
            <w:hideMark/>
          </w:tcPr>
          <w:p w14:paraId="3291CF30" w14:textId="77777777" w:rsidR="00196CEB" w:rsidRPr="00196CEB" w:rsidRDefault="00196CEB" w:rsidP="00196CEB">
            <w:pPr>
              <w:rPr>
                <w:b/>
                <w:bCs/>
              </w:rPr>
            </w:pPr>
            <w:r w:rsidRPr="00196CEB">
              <w:rPr>
                <w:b/>
                <w:bCs/>
              </w:rPr>
              <w:t>Malware or Ransomware Incidents</w:t>
            </w:r>
          </w:p>
        </w:tc>
        <w:tc>
          <w:tcPr>
            <w:tcW w:w="0" w:type="auto"/>
            <w:vAlign w:val="center"/>
            <w:hideMark/>
          </w:tcPr>
          <w:p w14:paraId="1EC64074" w14:textId="77777777" w:rsidR="00196CEB" w:rsidRPr="00196CEB" w:rsidRDefault="00196CEB" w:rsidP="00196CEB">
            <w:pPr>
              <w:rPr>
                <w:b/>
                <w:bCs/>
              </w:rPr>
            </w:pPr>
            <w:r w:rsidRPr="00196CEB">
              <w:rPr>
                <w:b/>
                <w:bCs/>
              </w:rPr>
              <w:t>Exposure to high-impact cyber threats</w:t>
            </w:r>
          </w:p>
        </w:tc>
      </w:tr>
      <w:tr w:rsidR="00196CEB" w:rsidRPr="00196CEB" w14:paraId="57D41D5D" w14:textId="77777777">
        <w:trPr>
          <w:tblCellSpacing w:w="15" w:type="dxa"/>
        </w:trPr>
        <w:tc>
          <w:tcPr>
            <w:tcW w:w="0" w:type="auto"/>
            <w:vAlign w:val="center"/>
            <w:hideMark/>
          </w:tcPr>
          <w:p w14:paraId="3368DC73" w14:textId="77777777" w:rsidR="00196CEB" w:rsidRPr="00196CEB" w:rsidRDefault="00196CEB" w:rsidP="00196CEB">
            <w:pPr>
              <w:rPr>
                <w:b/>
                <w:bCs/>
              </w:rPr>
            </w:pPr>
            <w:r w:rsidRPr="00196CEB">
              <w:rPr>
                <w:b/>
                <w:bCs/>
              </w:rPr>
              <w:t>Third-Party Security Incidents</w:t>
            </w:r>
          </w:p>
        </w:tc>
        <w:tc>
          <w:tcPr>
            <w:tcW w:w="0" w:type="auto"/>
            <w:vAlign w:val="center"/>
            <w:hideMark/>
          </w:tcPr>
          <w:p w14:paraId="58DE00DE" w14:textId="77777777" w:rsidR="00196CEB" w:rsidRPr="00196CEB" w:rsidRDefault="00196CEB" w:rsidP="00196CEB">
            <w:pPr>
              <w:rPr>
                <w:b/>
                <w:bCs/>
              </w:rPr>
            </w:pPr>
            <w:r w:rsidRPr="00196CEB">
              <w:rPr>
                <w:b/>
                <w:bCs/>
              </w:rPr>
              <w:t>Risk introduced by vendors or external partners</w:t>
            </w:r>
          </w:p>
        </w:tc>
      </w:tr>
      <w:tr w:rsidR="00196CEB" w:rsidRPr="00196CEB" w14:paraId="10B1C927" w14:textId="77777777">
        <w:trPr>
          <w:tblCellSpacing w:w="15" w:type="dxa"/>
        </w:trPr>
        <w:tc>
          <w:tcPr>
            <w:tcW w:w="0" w:type="auto"/>
            <w:vAlign w:val="center"/>
            <w:hideMark/>
          </w:tcPr>
          <w:p w14:paraId="7F775505" w14:textId="77777777" w:rsidR="00196CEB" w:rsidRPr="00196CEB" w:rsidRDefault="00196CEB" w:rsidP="00196CEB">
            <w:pPr>
              <w:rPr>
                <w:b/>
                <w:bCs/>
              </w:rPr>
            </w:pPr>
            <w:r w:rsidRPr="00196CEB">
              <w:rPr>
                <w:b/>
                <w:bCs/>
              </w:rPr>
              <w:t>Data Loss or Exfiltration Events</w:t>
            </w:r>
          </w:p>
        </w:tc>
        <w:tc>
          <w:tcPr>
            <w:tcW w:w="0" w:type="auto"/>
            <w:vAlign w:val="center"/>
            <w:hideMark/>
          </w:tcPr>
          <w:p w14:paraId="200591A9" w14:textId="77777777" w:rsidR="00196CEB" w:rsidRPr="00196CEB" w:rsidRDefault="00196CEB" w:rsidP="00196CEB">
            <w:pPr>
              <w:rPr>
                <w:b/>
                <w:bCs/>
              </w:rPr>
            </w:pPr>
            <w:r w:rsidRPr="00196CEB">
              <w:rPr>
                <w:b/>
                <w:bCs/>
              </w:rPr>
              <w:t>Risk of sensitive-data exposure</w:t>
            </w:r>
          </w:p>
        </w:tc>
      </w:tr>
      <w:tr w:rsidR="00196CEB" w:rsidRPr="00196CEB" w14:paraId="5BA1F08A" w14:textId="77777777">
        <w:trPr>
          <w:tblCellSpacing w:w="15" w:type="dxa"/>
        </w:trPr>
        <w:tc>
          <w:tcPr>
            <w:tcW w:w="0" w:type="auto"/>
            <w:vAlign w:val="center"/>
            <w:hideMark/>
          </w:tcPr>
          <w:p w14:paraId="0F7E9EF5" w14:textId="77777777" w:rsidR="00196CEB" w:rsidRPr="00196CEB" w:rsidRDefault="00196CEB" w:rsidP="00196CEB">
            <w:pPr>
              <w:rPr>
                <w:b/>
                <w:bCs/>
              </w:rPr>
            </w:pPr>
            <w:r w:rsidRPr="00196CEB">
              <w:rPr>
                <w:b/>
                <w:bCs/>
              </w:rPr>
              <w:t>Cloud Security Misconfigurations</w:t>
            </w:r>
          </w:p>
        </w:tc>
        <w:tc>
          <w:tcPr>
            <w:tcW w:w="0" w:type="auto"/>
            <w:vAlign w:val="center"/>
            <w:hideMark/>
          </w:tcPr>
          <w:p w14:paraId="07A4E2EA" w14:textId="77777777" w:rsidR="00196CEB" w:rsidRPr="00196CEB" w:rsidRDefault="00196CEB" w:rsidP="00196CEB">
            <w:pPr>
              <w:rPr>
                <w:b/>
                <w:bCs/>
              </w:rPr>
            </w:pPr>
            <w:r w:rsidRPr="00196CEB">
              <w:rPr>
                <w:b/>
                <w:bCs/>
              </w:rPr>
              <w:t>Risk caused by insecure cloud settings</w:t>
            </w:r>
          </w:p>
        </w:tc>
      </w:tr>
      <w:tr w:rsidR="00196CEB" w:rsidRPr="00196CEB" w14:paraId="6132F509" w14:textId="77777777">
        <w:trPr>
          <w:tblCellSpacing w:w="15" w:type="dxa"/>
        </w:trPr>
        <w:tc>
          <w:tcPr>
            <w:tcW w:w="0" w:type="auto"/>
            <w:vAlign w:val="center"/>
            <w:hideMark/>
          </w:tcPr>
          <w:p w14:paraId="6E95CD8C" w14:textId="77777777" w:rsidR="00196CEB" w:rsidRPr="00196CEB" w:rsidRDefault="00196CEB" w:rsidP="00196CEB">
            <w:pPr>
              <w:rPr>
                <w:b/>
                <w:bCs/>
              </w:rPr>
            </w:pPr>
            <w:r w:rsidRPr="00196CEB">
              <w:rPr>
                <w:b/>
                <w:bCs/>
              </w:rPr>
              <w:t>Security Control Failures</w:t>
            </w:r>
          </w:p>
        </w:tc>
        <w:tc>
          <w:tcPr>
            <w:tcW w:w="0" w:type="auto"/>
            <w:vAlign w:val="center"/>
            <w:hideMark/>
          </w:tcPr>
          <w:p w14:paraId="03FB77E3" w14:textId="77777777" w:rsidR="00196CEB" w:rsidRPr="00196CEB" w:rsidRDefault="00196CEB" w:rsidP="00196CEB">
            <w:pPr>
              <w:rPr>
                <w:b/>
                <w:bCs/>
              </w:rPr>
            </w:pPr>
            <w:r w:rsidRPr="00196CEB">
              <w:rPr>
                <w:b/>
                <w:bCs/>
              </w:rPr>
              <w:t>Failures in EDR, firewall, SIEM, MFA, DLP, or other controls</w:t>
            </w:r>
          </w:p>
        </w:tc>
      </w:tr>
    </w:tbl>
    <w:p w14:paraId="54C08807" w14:textId="77777777" w:rsidR="00463C1F" w:rsidRDefault="00463C1F" w:rsidP="00196CEB">
      <w:pPr>
        <w:rPr>
          <w:b/>
          <w:bCs/>
        </w:rPr>
      </w:pPr>
    </w:p>
    <w:p w14:paraId="28D020E7" w14:textId="77777777" w:rsidR="00463C1F" w:rsidRDefault="00463C1F">
      <w:pPr>
        <w:rPr>
          <w:b/>
          <w:bCs/>
        </w:rPr>
      </w:pPr>
      <w:r>
        <w:rPr>
          <w:b/>
          <w:bCs/>
        </w:rPr>
        <w:br w:type="page"/>
      </w:r>
    </w:p>
    <w:p w14:paraId="7AEF5599" w14:textId="792F5B57" w:rsidR="00196CEB" w:rsidRPr="00196CEB" w:rsidRDefault="00196CEB" w:rsidP="00196CEB">
      <w:pPr>
        <w:rPr>
          <w:b/>
          <w:bCs/>
        </w:rPr>
      </w:pPr>
      <w:r w:rsidRPr="00196CEB">
        <w:rPr>
          <w:b/>
          <w:bCs/>
        </w:rPr>
        <w:lastRenderedPageBreak/>
        <w:t>For your common automated reporting template, I would keep these 8 mandatory KRIs:</w:t>
      </w:r>
    </w:p>
    <w:p w14:paraId="4AB3CE09" w14:textId="77777777" w:rsidR="00196CEB" w:rsidRPr="00196CEB" w:rsidRDefault="00196CEB" w:rsidP="00196CEB">
      <w:pPr>
        <w:numPr>
          <w:ilvl w:val="0"/>
          <w:numId w:val="1"/>
        </w:numPr>
        <w:rPr>
          <w:b/>
          <w:bCs/>
        </w:rPr>
      </w:pPr>
      <w:r w:rsidRPr="00196CEB">
        <w:rPr>
          <w:b/>
          <w:bCs/>
        </w:rPr>
        <w:t xml:space="preserve">Critical and High-Severity Open Incidents </w:t>
      </w:r>
    </w:p>
    <w:p w14:paraId="6EF4080F" w14:textId="77777777" w:rsidR="00196CEB" w:rsidRPr="00196CEB" w:rsidRDefault="00196CEB" w:rsidP="00196CEB">
      <w:pPr>
        <w:numPr>
          <w:ilvl w:val="0"/>
          <w:numId w:val="1"/>
        </w:numPr>
        <w:rPr>
          <w:b/>
          <w:bCs/>
        </w:rPr>
      </w:pPr>
      <w:r w:rsidRPr="00196CEB">
        <w:rPr>
          <w:b/>
          <w:bCs/>
        </w:rPr>
        <w:t xml:space="preserve">SLA-Breached Incidents </w:t>
      </w:r>
    </w:p>
    <w:p w14:paraId="22E60AA8" w14:textId="77777777" w:rsidR="00196CEB" w:rsidRPr="00196CEB" w:rsidRDefault="00196CEB" w:rsidP="00196CEB">
      <w:pPr>
        <w:numPr>
          <w:ilvl w:val="0"/>
          <w:numId w:val="1"/>
        </w:numPr>
        <w:rPr>
          <w:b/>
          <w:bCs/>
        </w:rPr>
      </w:pPr>
      <w:r w:rsidRPr="00196CEB">
        <w:rPr>
          <w:b/>
          <w:bCs/>
        </w:rPr>
        <w:t xml:space="preserve">Incident Ageing Beyond SLA </w:t>
      </w:r>
    </w:p>
    <w:p w14:paraId="6E339563" w14:textId="77777777" w:rsidR="00196CEB" w:rsidRPr="00196CEB" w:rsidRDefault="00196CEB" w:rsidP="00196CEB">
      <w:pPr>
        <w:numPr>
          <w:ilvl w:val="0"/>
          <w:numId w:val="1"/>
        </w:numPr>
        <w:rPr>
          <w:b/>
          <w:bCs/>
        </w:rPr>
      </w:pPr>
      <w:r w:rsidRPr="00196CEB">
        <w:rPr>
          <w:b/>
          <w:bCs/>
        </w:rPr>
        <w:t xml:space="preserve">High-Risk Assets Affected </w:t>
      </w:r>
    </w:p>
    <w:p w14:paraId="4BF6E64F" w14:textId="77777777" w:rsidR="00196CEB" w:rsidRPr="00196CEB" w:rsidRDefault="00196CEB" w:rsidP="00196CEB">
      <w:pPr>
        <w:numPr>
          <w:ilvl w:val="0"/>
          <w:numId w:val="1"/>
        </w:numPr>
        <w:rPr>
          <w:b/>
          <w:bCs/>
        </w:rPr>
      </w:pPr>
      <w:r w:rsidRPr="00196CEB">
        <w:rPr>
          <w:b/>
          <w:bCs/>
        </w:rPr>
        <w:t xml:space="preserve">Repeat Security Incidents </w:t>
      </w:r>
    </w:p>
    <w:p w14:paraId="59EE3B8A" w14:textId="77777777" w:rsidR="00196CEB" w:rsidRPr="00196CEB" w:rsidRDefault="00196CEB" w:rsidP="00196CEB">
      <w:pPr>
        <w:numPr>
          <w:ilvl w:val="0"/>
          <w:numId w:val="1"/>
        </w:numPr>
        <w:rPr>
          <w:b/>
          <w:bCs/>
        </w:rPr>
      </w:pPr>
      <w:r w:rsidRPr="00196CEB">
        <w:rPr>
          <w:b/>
          <w:bCs/>
        </w:rPr>
        <w:t xml:space="preserve">Critical Vulnerability Exposure </w:t>
      </w:r>
    </w:p>
    <w:p w14:paraId="236F0AFB" w14:textId="77777777" w:rsidR="00196CEB" w:rsidRPr="00196CEB" w:rsidRDefault="00196CEB" w:rsidP="00196CEB">
      <w:pPr>
        <w:numPr>
          <w:ilvl w:val="0"/>
          <w:numId w:val="1"/>
        </w:numPr>
        <w:rPr>
          <w:b/>
          <w:bCs/>
        </w:rPr>
      </w:pPr>
      <w:r w:rsidRPr="00196CEB">
        <w:rPr>
          <w:b/>
          <w:bCs/>
        </w:rPr>
        <w:t xml:space="preserve">Detection or Monitoring Coverage Gap </w:t>
      </w:r>
    </w:p>
    <w:p w14:paraId="7604FD99" w14:textId="77777777" w:rsidR="00196CEB" w:rsidRPr="00196CEB" w:rsidRDefault="00196CEB" w:rsidP="00196CEB">
      <w:pPr>
        <w:numPr>
          <w:ilvl w:val="0"/>
          <w:numId w:val="1"/>
        </w:numPr>
        <w:rPr>
          <w:b/>
          <w:bCs/>
        </w:rPr>
      </w:pPr>
      <w:r w:rsidRPr="00196CEB">
        <w:rPr>
          <w:b/>
          <w:bCs/>
        </w:rPr>
        <w:t xml:space="preserve">Privileged or Compromised Account Incidents </w:t>
      </w:r>
    </w:p>
    <w:p w14:paraId="3881BC30" w14:textId="77777777" w:rsidR="00196CEB" w:rsidRPr="00196CEB" w:rsidRDefault="00196CEB" w:rsidP="00196CEB">
      <w:pPr>
        <w:rPr>
          <w:b/>
          <w:bCs/>
        </w:rPr>
      </w:pPr>
      <w:r w:rsidRPr="00196CEB">
        <w:rPr>
          <w:b/>
          <w:bCs/>
        </w:rPr>
        <w:t xml:space="preserve">One correction: MTTR, MTTD, SLA compliance, alert volume, and closure rate are mainly KPIs, because they measure SOC performance. Open critical incidents, overdue vulnerabilities, control gaps, and high-risk asset exposure are KRIs, because they indicate cybersecurity risk. </w:t>
      </w:r>
      <w:r w:rsidRPr="00196CEB">
        <w:rPr>
          <w:rFonts w:ascii="Segoe UI Emoji" w:hAnsi="Segoe UI Emoji" w:cs="Segoe UI Emoji"/>
          <w:b/>
          <w:bCs/>
        </w:rPr>
        <w:t>⚠️</w:t>
      </w:r>
    </w:p>
    <w:p w14:paraId="641D3C9A" w14:textId="77777777" w:rsidR="00196CEB" w:rsidRPr="00196CEB" w:rsidRDefault="00196CEB" w:rsidP="00196CEB">
      <w:pPr>
        <w:rPr>
          <w:b/>
          <w:bCs/>
        </w:rPr>
      </w:pPr>
      <w:r w:rsidRPr="00196CEB">
        <w:rPr>
          <w:b/>
          <w:bCs/>
        </w:rPr>
        <w:t>For your project document, you can write:</w:t>
      </w:r>
    </w:p>
    <w:p w14:paraId="50AABE81" w14:textId="77777777" w:rsidR="00196CEB" w:rsidRPr="00196CEB" w:rsidRDefault="00196CEB" w:rsidP="00196CEB">
      <w:pPr>
        <w:rPr>
          <w:b/>
          <w:bCs/>
        </w:rPr>
      </w:pPr>
      <w:r w:rsidRPr="00196CEB">
        <w:rPr>
          <w:b/>
          <w:bCs/>
        </w:rPr>
        <w:t>Identify Common Key Risk Indicators (KRIs)</w:t>
      </w:r>
    </w:p>
    <w:p w14:paraId="415B3D8B" w14:textId="77777777" w:rsidR="00196CEB" w:rsidRPr="00196CEB" w:rsidRDefault="00196CEB" w:rsidP="00196CEB">
      <w:pPr>
        <w:rPr>
          <w:b/>
          <w:bCs/>
        </w:rPr>
      </w:pPr>
      <w:r w:rsidRPr="00196CEB">
        <w:rPr>
          <w:b/>
          <w:bCs/>
        </w:rPr>
        <w:t>Identify and standardize the common Key Risk Indicators required across client reports. These KRIs should measure cybersecurity exposure and highlight areas where risk is increasing, such as unresolved critical incidents, SLA breaches, incident ageing, high-risk assets, recurring threats, critical vulnerabilities, security control gaps, and privileged-account incidents.</w:t>
      </w:r>
    </w:p>
    <w:p w14:paraId="6454DFCD" w14:textId="77777777" w:rsidR="00196CEB" w:rsidRPr="00196CEB" w:rsidRDefault="00196CEB" w:rsidP="00196CEB">
      <w:pPr>
        <w:rPr>
          <w:b/>
          <w:bCs/>
        </w:rPr>
      </w:pPr>
      <w:r w:rsidRPr="00196CEB">
        <w:rPr>
          <w:b/>
          <w:bCs/>
        </w:rPr>
        <w:t xml:space="preserve">The finalized KRIs will be included in the common reporting template and automated using data retrieved from the 360 </w:t>
      </w:r>
      <w:proofErr w:type="gramStart"/>
      <w:r w:rsidRPr="00196CEB">
        <w:rPr>
          <w:b/>
          <w:bCs/>
        </w:rPr>
        <w:t>application</w:t>
      </w:r>
      <w:proofErr w:type="gramEnd"/>
      <w:r w:rsidRPr="00196CEB">
        <w:rPr>
          <w:b/>
          <w:bCs/>
        </w:rPr>
        <w:t xml:space="preserve"> through APIs.</w:t>
      </w:r>
    </w:p>
    <w:p w14:paraId="271AA14D" w14:textId="77777777" w:rsidR="00196CEB" w:rsidRPr="00196CEB" w:rsidRDefault="00196CEB" w:rsidP="00196CEB">
      <w:pPr>
        <w:rPr>
          <w:b/>
          <w:bCs/>
        </w:rPr>
      </w:pPr>
      <w:r w:rsidRPr="00196CEB">
        <w:rPr>
          <w:b/>
          <w:bCs/>
        </w:rPr>
        <w:t xml:space="preserve">This will make your reporting automation proposal stronger because it separates SOC performance (KPIs) from cyber risk (KRIs). </w:t>
      </w:r>
      <w:r w:rsidRPr="00196CEB">
        <w:rPr>
          <w:rFonts w:ascii="Segoe UI Emoji" w:hAnsi="Segoe UI Emoji" w:cs="Segoe UI Emoji"/>
          <w:b/>
          <w:bCs/>
        </w:rPr>
        <w:t>📊</w:t>
      </w:r>
    </w:p>
    <w:p w14:paraId="43AADB0B" w14:textId="77777777" w:rsidR="00196CEB" w:rsidRPr="00196CEB" w:rsidRDefault="00196CEB" w:rsidP="00196CEB">
      <w:pPr>
        <w:rPr>
          <w:b/>
          <w:bCs/>
        </w:rPr>
      </w:pPr>
      <w:r w:rsidRPr="00196CEB">
        <w:rPr>
          <w:b/>
          <w:bCs/>
        </w:rPr>
        <w:t>Monthly Report HDFC PENSION from 01st to 30th November 2025 1 1.docx</w:t>
      </w:r>
    </w:p>
    <w:p w14:paraId="0CA20732" w14:textId="77777777" w:rsidR="00196CEB" w:rsidRPr="00196CEB" w:rsidRDefault="00196CEB" w:rsidP="00196CEB">
      <w:pPr>
        <w:rPr>
          <w:b/>
          <w:bCs/>
        </w:rPr>
      </w:pPr>
      <w:r w:rsidRPr="00196CEB">
        <w:rPr>
          <w:b/>
          <w:bCs/>
        </w:rPr>
        <w:t>Document</w:t>
      </w:r>
    </w:p>
    <w:p w14:paraId="3EFAC69B" w14:textId="77777777" w:rsidR="00196CEB" w:rsidRPr="00196CEB" w:rsidRDefault="00196CEB" w:rsidP="00196CEB">
      <w:pPr>
        <w:rPr>
          <w:b/>
          <w:bCs/>
        </w:rPr>
      </w:pPr>
      <w:r w:rsidRPr="00196CEB">
        <w:rPr>
          <w:b/>
          <w:bCs/>
        </w:rPr>
        <w:t xml:space="preserve">check this pdf and tell me which is </w:t>
      </w:r>
      <w:proofErr w:type="spellStart"/>
      <w:r w:rsidRPr="00196CEB">
        <w:rPr>
          <w:b/>
          <w:bCs/>
        </w:rPr>
        <w:t>kpis</w:t>
      </w:r>
      <w:proofErr w:type="spellEnd"/>
      <w:r w:rsidRPr="00196CEB">
        <w:rPr>
          <w:b/>
          <w:bCs/>
        </w:rPr>
        <w:t xml:space="preserve"> and </w:t>
      </w:r>
      <w:proofErr w:type="spellStart"/>
      <w:r w:rsidRPr="00196CEB">
        <w:rPr>
          <w:b/>
          <w:bCs/>
        </w:rPr>
        <w:t>whivh</w:t>
      </w:r>
      <w:proofErr w:type="spellEnd"/>
      <w:r w:rsidRPr="00196CEB">
        <w:rPr>
          <w:b/>
          <w:bCs/>
        </w:rPr>
        <w:t xml:space="preserve"> is </w:t>
      </w:r>
      <w:proofErr w:type="spellStart"/>
      <w:r w:rsidRPr="00196CEB">
        <w:rPr>
          <w:b/>
          <w:bCs/>
        </w:rPr>
        <w:t>kri</w:t>
      </w:r>
      <w:proofErr w:type="spellEnd"/>
      <w:r w:rsidRPr="00196CEB">
        <w:rPr>
          <w:b/>
          <w:bCs/>
        </w:rPr>
        <w:t xml:space="preserve"> s which need to add in our report</w:t>
      </w:r>
    </w:p>
    <w:p w14:paraId="35A2000D" w14:textId="77777777" w:rsidR="00196CEB" w:rsidRPr="00196CEB" w:rsidRDefault="00196CEB" w:rsidP="00196CEB">
      <w:pPr>
        <w:rPr>
          <w:b/>
          <w:bCs/>
        </w:rPr>
      </w:pPr>
      <w:r w:rsidRPr="00196CEB">
        <w:rPr>
          <w:b/>
          <w:bCs/>
        </w:rPr>
        <w:t xml:space="preserve">I checked the complete HDFC Pension monthly report. The current report mostly contains operational KPIs; it has very few proper KRIs. </w:t>
      </w:r>
    </w:p>
    <w:p w14:paraId="3856B752" w14:textId="77777777" w:rsidR="00463C1F" w:rsidRDefault="00463C1F" w:rsidP="00196CEB">
      <w:pPr>
        <w:rPr>
          <w:rFonts w:ascii="Segoe UI Emoji" w:hAnsi="Segoe UI Emoji" w:cs="Segoe UI Emoji"/>
          <w:b/>
          <w:bCs/>
        </w:rPr>
      </w:pPr>
      <w:r>
        <w:rPr>
          <w:rFonts w:ascii="Segoe UI Emoji" w:hAnsi="Segoe UI Emoji" w:cs="Segoe UI Emoji"/>
          <w:b/>
          <w:bCs/>
        </w:rPr>
        <w:br/>
      </w:r>
    </w:p>
    <w:p w14:paraId="22E8C11A" w14:textId="1249E805" w:rsidR="00196CEB" w:rsidRPr="00196CEB" w:rsidRDefault="00196CEB" w:rsidP="00196CEB">
      <w:pPr>
        <w:rPr>
          <w:b/>
          <w:bCs/>
        </w:rPr>
      </w:pPr>
      <w:r w:rsidRPr="00196CEB">
        <w:rPr>
          <w:rFonts w:ascii="Segoe UI Emoji" w:hAnsi="Segoe UI Emoji" w:cs="Segoe UI Emoji"/>
          <w:b/>
          <w:bCs/>
        </w:rPr>
        <w:lastRenderedPageBreak/>
        <w:t>📊</w:t>
      </w:r>
      <w:r w:rsidRPr="00196CEB">
        <w:rPr>
          <w:b/>
          <w:bCs/>
        </w:rPr>
        <w:t xml:space="preserve"> Existing KPIs in the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gridCol w:w="1966"/>
        <w:gridCol w:w="684"/>
      </w:tblGrid>
      <w:tr w:rsidR="00196CEB" w:rsidRPr="00196CEB" w14:paraId="2E9088CE" w14:textId="77777777">
        <w:trPr>
          <w:tblHeader/>
          <w:tblCellSpacing w:w="15" w:type="dxa"/>
        </w:trPr>
        <w:tc>
          <w:tcPr>
            <w:tcW w:w="0" w:type="auto"/>
            <w:vAlign w:val="center"/>
            <w:hideMark/>
          </w:tcPr>
          <w:p w14:paraId="5644B5C5" w14:textId="77777777" w:rsidR="00196CEB" w:rsidRPr="00196CEB" w:rsidRDefault="00196CEB" w:rsidP="00196CEB">
            <w:pPr>
              <w:rPr>
                <w:b/>
                <w:bCs/>
              </w:rPr>
            </w:pPr>
            <w:r w:rsidRPr="00196CEB">
              <w:rPr>
                <w:b/>
                <w:bCs/>
              </w:rPr>
              <w:t>Current Metric</w:t>
            </w:r>
          </w:p>
        </w:tc>
        <w:tc>
          <w:tcPr>
            <w:tcW w:w="0" w:type="auto"/>
            <w:vAlign w:val="center"/>
            <w:hideMark/>
          </w:tcPr>
          <w:p w14:paraId="24FE30AB" w14:textId="77777777" w:rsidR="00196CEB" w:rsidRPr="00196CEB" w:rsidRDefault="00196CEB" w:rsidP="00196CEB">
            <w:pPr>
              <w:rPr>
                <w:b/>
                <w:bCs/>
              </w:rPr>
            </w:pPr>
            <w:r w:rsidRPr="00196CEB">
              <w:rPr>
                <w:b/>
                <w:bCs/>
              </w:rPr>
              <w:t>Type</w:t>
            </w:r>
          </w:p>
        </w:tc>
        <w:tc>
          <w:tcPr>
            <w:tcW w:w="0" w:type="auto"/>
            <w:vAlign w:val="center"/>
            <w:hideMark/>
          </w:tcPr>
          <w:p w14:paraId="469DCB64" w14:textId="77777777" w:rsidR="00196CEB" w:rsidRPr="00196CEB" w:rsidRDefault="00196CEB" w:rsidP="00196CEB">
            <w:pPr>
              <w:rPr>
                <w:b/>
                <w:bCs/>
              </w:rPr>
            </w:pPr>
            <w:r w:rsidRPr="00196CEB">
              <w:rPr>
                <w:b/>
                <w:bCs/>
              </w:rPr>
              <w:t>Keep?</w:t>
            </w:r>
          </w:p>
        </w:tc>
      </w:tr>
      <w:tr w:rsidR="00196CEB" w:rsidRPr="00196CEB" w14:paraId="4D9793EB" w14:textId="77777777">
        <w:trPr>
          <w:tblCellSpacing w:w="15" w:type="dxa"/>
        </w:trPr>
        <w:tc>
          <w:tcPr>
            <w:tcW w:w="0" w:type="auto"/>
            <w:vAlign w:val="center"/>
            <w:hideMark/>
          </w:tcPr>
          <w:p w14:paraId="79DD19A1" w14:textId="77777777" w:rsidR="00196CEB" w:rsidRPr="00196CEB" w:rsidRDefault="00196CEB" w:rsidP="00196CEB">
            <w:pPr>
              <w:rPr>
                <w:b/>
                <w:bCs/>
              </w:rPr>
            </w:pPr>
            <w:r w:rsidRPr="00196CEB">
              <w:rPr>
                <w:b/>
                <w:bCs/>
              </w:rPr>
              <w:t>Total alert count</w:t>
            </w:r>
          </w:p>
        </w:tc>
        <w:tc>
          <w:tcPr>
            <w:tcW w:w="0" w:type="auto"/>
            <w:vAlign w:val="center"/>
            <w:hideMark/>
          </w:tcPr>
          <w:p w14:paraId="322D2AAD" w14:textId="77777777" w:rsidR="00196CEB" w:rsidRPr="00196CEB" w:rsidRDefault="00196CEB" w:rsidP="00196CEB">
            <w:pPr>
              <w:rPr>
                <w:b/>
                <w:bCs/>
              </w:rPr>
            </w:pPr>
            <w:r w:rsidRPr="00196CEB">
              <w:rPr>
                <w:b/>
                <w:bCs/>
              </w:rPr>
              <w:t>KPI</w:t>
            </w:r>
          </w:p>
        </w:tc>
        <w:tc>
          <w:tcPr>
            <w:tcW w:w="0" w:type="auto"/>
            <w:vAlign w:val="center"/>
            <w:hideMark/>
          </w:tcPr>
          <w:p w14:paraId="09CB0BFD" w14:textId="77777777" w:rsidR="00196CEB" w:rsidRPr="00196CEB" w:rsidRDefault="00196CEB" w:rsidP="00196CEB">
            <w:pPr>
              <w:rPr>
                <w:b/>
                <w:bCs/>
              </w:rPr>
            </w:pPr>
            <w:r w:rsidRPr="00196CEB">
              <w:rPr>
                <w:rFonts w:ascii="Segoe UI Emoji" w:hAnsi="Segoe UI Emoji" w:cs="Segoe UI Emoji"/>
                <w:b/>
                <w:bCs/>
              </w:rPr>
              <w:t>✅</w:t>
            </w:r>
          </w:p>
        </w:tc>
      </w:tr>
      <w:tr w:rsidR="00196CEB" w:rsidRPr="00196CEB" w14:paraId="11E7BFD4" w14:textId="77777777">
        <w:trPr>
          <w:tblCellSpacing w:w="15" w:type="dxa"/>
        </w:trPr>
        <w:tc>
          <w:tcPr>
            <w:tcW w:w="0" w:type="auto"/>
            <w:vAlign w:val="center"/>
            <w:hideMark/>
          </w:tcPr>
          <w:p w14:paraId="4B128240" w14:textId="77777777" w:rsidR="00196CEB" w:rsidRPr="00196CEB" w:rsidRDefault="00196CEB" w:rsidP="00196CEB">
            <w:pPr>
              <w:rPr>
                <w:b/>
                <w:bCs/>
              </w:rPr>
            </w:pPr>
            <w:r w:rsidRPr="00196CEB">
              <w:rPr>
                <w:b/>
                <w:bCs/>
              </w:rPr>
              <w:t>Alerts by status — Open vs Closed</w:t>
            </w:r>
          </w:p>
        </w:tc>
        <w:tc>
          <w:tcPr>
            <w:tcW w:w="0" w:type="auto"/>
            <w:vAlign w:val="center"/>
            <w:hideMark/>
          </w:tcPr>
          <w:p w14:paraId="201BAFF6" w14:textId="77777777" w:rsidR="00196CEB" w:rsidRPr="00196CEB" w:rsidRDefault="00196CEB" w:rsidP="00196CEB">
            <w:pPr>
              <w:rPr>
                <w:b/>
                <w:bCs/>
              </w:rPr>
            </w:pPr>
            <w:r w:rsidRPr="00196CEB">
              <w:rPr>
                <w:b/>
                <w:bCs/>
              </w:rPr>
              <w:t>KPI</w:t>
            </w:r>
          </w:p>
        </w:tc>
        <w:tc>
          <w:tcPr>
            <w:tcW w:w="0" w:type="auto"/>
            <w:vAlign w:val="center"/>
            <w:hideMark/>
          </w:tcPr>
          <w:p w14:paraId="613A3A9F" w14:textId="77777777" w:rsidR="00196CEB" w:rsidRPr="00196CEB" w:rsidRDefault="00196CEB" w:rsidP="00196CEB">
            <w:pPr>
              <w:rPr>
                <w:b/>
                <w:bCs/>
              </w:rPr>
            </w:pPr>
            <w:r w:rsidRPr="00196CEB">
              <w:rPr>
                <w:rFonts w:ascii="Segoe UI Emoji" w:hAnsi="Segoe UI Emoji" w:cs="Segoe UI Emoji"/>
                <w:b/>
                <w:bCs/>
              </w:rPr>
              <w:t>✅</w:t>
            </w:r>
          </w:p>
        </w:tc>
      </w:tr>
      <w:tr w:rsidR="00196CEB" w:rsidRPr="00196CEB" w14:paraId="40C14E89" w14:textId="77777777">
        <w:trPr>
          <w:tblCellSpacing w:w="15" w:type="dxa"/>
        </w:trPr>
        <w:tc>
          <w:tcPr>
            <w:tcW w:w="0" w:type="auto"/>
            <w:vAlign w:val="center"/>
            <w:hideMark/>
          </w:tcPr>
          <w:p w14:paraId="02B6E83C" w14:textId="77777777" w:rsidR="00196CEB" w:rsidRPr="00196CEB" w:rsidRDefault="00196CEB" w:rsidP="00196CEB">
            <w:pPr>
              <w:rPr>
                <w:b/>
                <w:bCs/>
              </w:rPr>
            </w:pPr>
            <w:r w:rsidRPr="00196CEB">
              <w:rPr>
                <w:b/>
                <w:bCs/>
              </w:rPr>
              <w:t>Severity-wise alert count</w:t>
            </w:r>
          </w:p>
        </w:tc>
        <w:tc>
          <w:tcPr>
            <w:tcW w:w="0" w:type="auto"/>
            <w:vAlign w:val="center"/>
            <w:hideMark/>
          </w:tcPr>
          <w:p w14:paraId="3DF7EC76" w14:textId="77777777" w:rsidR="00196CEB" w:rsidRPr="00196CEB" w:rsidRDefault="00196CEB" w:rsidP="00196CEB">
            <w:pPr>
              <w:rPr>
                <w:b/>
                <w:bCs/>
              </w:rPr>
            </w:pPr>
            <w:r w:rsidRPr="00196CEB">
              <w:rPr>
                <w:b/>
                <w:bCs/>
              </w:rPr>
              <w:t>KPI</w:t>
            </w:r>
          </w:p>
        </w:tc>
        <w:tc>
          <w:tcPr>
            <w:tcW w:w="0" w:type="auto"/>
            <w:vAlign w:val="center"/>
            <w:hideMark/>
          </w:tcPr>
          <w:p w14:paraId="6B373A37" w14:textId="77777777" w:rsidR="00196CEB" w:rsidRPr="00196CEB" w:rsidRDefault="00196CEB" w:rsidP="00196CEB">
            <w:pPr>
              <w:rPr>
                <w:b/>
                <w:bCs/>
              </w:rPr>
            </w:pPr>
            <w:r w:rsidRPr="00196CEB">
              <w:rPr>
                <w:rFonts w:ascii="Segoe UI Emoji" w:hAnsi="Segoe UI Emoji" w:cs="Segoe UI Emoji"/>
                <w:b/>
                <w:bCs/>
              </w:rPr>
              <w:t>✅</w:t>
            </w:r>
          </w:p>
        </w:tc>
      </w:tr>
      <w:tr w:rsidR="00196CEB" w:rsidRPr="00196CEB" w14:paraId="3C437C28" w14:textId="77777777">
        <w:trPr>
          <w:tblCellSpacing w:w="15" w:type="dxa"/>
        </w:trPr>
        <w:tc>
          <w:tcPr>
            <w:tcW w:w="0" w:type="auto"/>
            <w:vAlign w:val="center"/>
            <w:hideMark/>
          </w:tcPr>
          <w:p w14:paraId="52EEAFAA" w14:textId="77777777" w:rsidR="00196CEB" w:rsidRPr="00196CEB" w:rsidRDefault="00196CEB" w:rsidP="00196CEB">
            <w:pPr>
              <w:rPr>
                <w:b/>
                <w:bCs/>
              </w:rPr>
            </w:pPr>
            <w:r w:rsidRPr="00196CEB">
              <w:rPr>
                <w:b/>
                <w:bCs/>
              </w:rPr>
              <w:t>Weekly/monthly alert trend</w:t>
            </w:r>
          </w:p>
        </w:tc>
        <w:tc>
          <w:tcPr>
            <w:tcW w:w="0" w:type="auto"/>
            <w:vAlign w:val="center"/>
            <w:hideMark/>
          </w:tcPr>
          <w:p w14:paraId="29D5FB0E" w14:textId="77777777" w:rsidR="00196CEB" w:rsidRPr="00196CEB" w:rsidRDefault="00196CEB" w:rsidP="00196CEB">
            <w:pPr>
              <w:rPr>
                <w:b/>
                <w:bCs/>
              </w:rPr>
            </w:pPr>
            <w:r w:rsidRPr="00196CEB">
              <w:rPr>
                <w:b/>
                <w:bCs/>
              </w:rPr>
              <w:t>KPI</w:t>
            </w:r>
          </w:p>
        </w:tc>
        <w:tc>
          <w:tcPr>
            <w:tcW w:w="0" w:type="auto"/>
            <w:vAlign w:val="center"/>
            <w:hideMark/>
          </w:tcPr>
          <w:p w14:paraId="110D09F3" w14:textId="77777777" w:rsidR="00196CEB" w:rsidRPr="00196CEB" w:rsidRDefault="00196CEB" w:rsidP="00196CEB">
            <w:pPr>
              <w:rPr>
                <w:b/>
                <w:bCs/>
              </w:rPr>
            </w:pPr>
            <w:r w:rsidRPr="00196CEB">
              <w:rPr>
                <w:rFonts w:ascii="Segoe UI Emoji" w:hAnsi="Segoe UI Emoji" w:cs="Segoe UI Emoji"/>
                <w:b/>
                <w:bCs/>
              </w:rPr>
              <w:t>✅</w:t>
            </w:r>
          </w:p>
        </w:tc>
      </w:tr>
      <w:tr w:rsidR="00196CEB" w:rsidRPr="00196CEB" w14:paraId="07B0C75C" w14:textId="77777777">
        <w:trPr>
          <w:tblCellSpacing w:w="15" w:type="dxa"/>
        </w:trPr>
        <w:tc>
          <w:tcPr>
            <w:tcW w:w="0" w:type="auto"/>
            <w:vAlign w:val="center"/>
            <w:hideMark/>
          </w:tcPr>
          <w:p w14:paraId="03FECBF3" w14:textId="77777777" w:rsidR="00196CEB" w:rsidRPr="00196CEB" w:rsidRDefault="00196CEB" w:rsidP="00196CEB">
            <w:pPr>
              <w:rPr>
                <w:b/>
                <w:bCs/>
              </w:rPr>
            </w:pPr>
            <w:r w:rsidRPr="00196CEB">
              <w:rPr>
                <w:b/>
                <w:bCs/>
              </w:rPr>
              <w:t>Top alert names</w:t>
            </w:r>
          </w:p>
        </w:tc>
        <w:tc>
          <w:tcPr>
            <w:tcW w:w="0" w:type="auto"/>
            <w:vAlign w:val="center"/>
            <w:hideMark/>
          </w:tcPr>
          <w:p w14:paraId="60E2CC58" w14:textId="77777777" w:rsidR="00196CEB" w:rsidRPr="00196CEB" w:rsidRDefault="00196CEB" w:rsidP="00196CEB">
            <w:pPr>
              <w:rPr>
                <w:b/>
                <w:bCs/>
              </w:rPr>
            </w:pPr>
            <w:r w:rsidRPr="00196CEB">
              <w:rPr>
                <w:b/>
                <w:bCs/>
              </w:rPr>
              <w:t>KPI</w:t>
            </w:r>
          </w:p>
        </w:tc>
        <w:tc>
          <w:tcPr>
            <w:tcW w:w="0" w:type="auto"/>
            <w:vAlign w:val="center"/>
            <w:hideMark/>
          </w:tcPr>
          <w:p w14:paraId="77C6261B" w14:textId="77777777" w:rsidR="00196CEB" w:rsidRPr="00196CEB" w:rsidRDefault="00196CEB" w:rsidP="00196CEB">
            <w:pPr>
              <w:rPr>
                <w:b/>
                <w:bCs/>
              </w:rPr>
            </w:pPr>
            <w:r w:rsidRPr="00196CEB">
              <w:rPr>
                <w:rFonts w:ascii="Segoe UI Emoji" w:hAnsi="Segoe UI Emoji" w:cs="Segoe UI Emoji"/>
                <w:b/>
                <w:bCs/>
              </w:rPr>
              <w:t>✅</w:t>
            </w:r>
          </w:p>
        </w:tc>
      </w:tr>
      <w:tr w:rsidR="00196CEB" w:rsidRPr="00196CEB" w14:paraId="2D74A5AD" w14:textId="77777777">
        <w:trPr>
          <w:tblCellSpacing w:w="15" w:type="dxa"/>
        </w:trPr>
        <w:tc>
          <w:tcPr>
            <w:tcW w:w="0" w:type="auto"/>
            <w:vAlign w:val="center"/>
            <w:hideMark/>
          </w:tcPr>
          <w:p w14:paraId="23DCB71E" w14:textId="77777777" w:rsidR="00196CEB" w:rsidRPr="00196CEB" w:rsidRDefault="00196CEB" w:rsidP="00196CEB">
            <w:pPr>
              <w:rPr>
                <w:b/>
                <w:bCs/>
              </w:rPr>
            </w:pPr>
            <w:r w:rsidRPr="00196CEB">
              <w:rPr>
                <w:b/>
                <w:bCs/>
              </w:rPr>
              <w:t>MITRE ATT&amp;CK tactics</w:t>
            </w:r>
          </w:p>
        </w:tc>
        <w:tc>
          <w:tcPr>
            <w:tcW w:w="0" w:type="auto"/>
            <w:vAlign w:val="center"/>
            <w:hideMark/>
          </w:tcPr>
          <w:p w14:paraId="6569B132" w14:textId="77777777" w:rsidR="00196CEB" w:rsidRPr="00196CEB" w:rsidRDefault="00196CEB" w:rsidP="00196CEB">
            <w:pPr>
              <w:rPr>
                <w:b/>
                <w:bCs/>
              </w:rPr>
            </w:pPr>
            <w:r w:rsidRPr="00196CEB">
              <w:rPr>
                <w:b/>
                <w:bCs/>
              </w:rPr>
              <w:t>KPI / Threat insight</w:t>
            </w:r>
          </w:p>
        </w:tc>
        <w:tc>
          <w:tcPr>
            <w:tcW w:w="0" w:type="auto"/>
            <w:vAlign w:val="center"/>
            <w:hideMark/>
          </w:tcPr>
          <w:p w14:paraId="22BFA6F4" w14:textId="77777777" w:rsidR="00196CEB" w:rsidRPr="00196CEB" w:rsidRDefault="00196CEB" w:rsidP="00196CEB">
            <w:pPr>
              <w:rPr>
                <w:b/>
                <w:bCs/>
              </w:rPr>
            </w:pPr>
            <w:r w:rsidRPr="00196CEB">
              <w:rPr>
                <w:rFonts w:ascii="Segoe UI Emoji" w:hAnsi="Segoe UI Emoji" w:cs="Segoe UI Emoji"/>
                <w:b/>
                <w:bCs/>
              </w:rPr>
              <w:t>✅</w:t>
            </w:r>
          </w:p>
        </w:tc>
      </w:tr>
      <w:tr w:rsidR="00196CEB" w:rsidRPr="00196CEB" w14:paraId="080AFE3E" w14:textId="77777777">
        <w:trPr>
          <w:tblCellSpacing w:w="15" w:type="dxa"/>
        </w:trPr>
        <w:tc>
          <w:tcPr>
            <w:tcW w:w="0" w:type="auto"/>
            <w:vAlign w:val="center"/>
            <w:hideMark/>
          </w:tcPr>
          <w:p w14:paraId="6F0498D0" w14:textId="77777777" w:rsidR="00196CEB" w:rsidRPr="00196CEB" w:rsidRDefault="00196CEB" w:rsidP="00196CEB">
            <w:pPr>
              <w:rPr>
                <w:b/>
                <w:bCs/>
              </w:rPr>
            </w:pPr>
            <w:r w:rsidRPr="00196CEB">
              <w:rPr>
                <w:b/>
                <w:bCs/>
              </w:rPr>
              <w:t>MITRE ATT&amp;CK techniques</w:t>
            </w:r>
          </w:p>
        </w:tc>
        <w:tc>
          <w:tcPr>
            <w:tcW w:w="0" w:type="auto"/>
            <w:vAlign w:val="center"/>
            <w:hideMark/>
          </w:tcPr>
          <w:p w14:paraId="1E6761E5" w14:textId="77777777" w:rsidR="00196CEB" w:rsidRPr="00196CEB" w:rsidRDefault="00196CEB" w:rsidP="00196CEB">
            <w:pPr>
              <w:rPr>
                <w:b/>
                <w:bCs/>
              </w:rPr>
            </w:pPr>
            <w:r w:rsidRPr="00196CEB">
              <w:rPr>
                <w:b/>
                <w:bCs/>
              </w:rPr>
              <w:t>KPI / Threat insight</w:t>
            </w:r>
          </w:p>
        </w:tc>
        <w:tc>
          <w:tcPr>
            <w:tcW w:w="0" w:type="auto"/>
            <w:vAlign w:val="center"/>
            <w:hideMark/>
          </w:tcPr>
          <w:p w14:paraId="7F234B41" w14:textId="77777777" w:rsidR="00196CEB" w:rsidRPr="00196CEB" w:rsidRDefault="00196CEB" w:rsidP="00196CEB">
            <w:pPr>
              <w:rPr>
                <w:b/>
                <w:bCs/>
              </w:rPr>
            </w:pPr>
            <w:r w:rsidRPr="00196CEB">
              <w:rPr>
                <w:rFonts w:ascii="Segoe UI Emoji" w:hAnsi="Segoe UI Emoji" w:cs="Segoe UI Emoji"/>
                <w:b/>
                <w:bCs/>
              </w:rPr>
              <w:t>✅</w:t>
            </w:r>
          </w:p>
        </w:tc>
      </w:tr>
      <w:tr w:rsidR="00196CEB" w:rsidRPr="00196CEB" w14:paraId="3C2D68BE" w14:textId="77777777">
        <w:trPr>
          <w:tblCellSpacing w:w="15" w:type="dxa"/>
        </w:trPr>
        <w:tc>
          <w:tcPr>
            <w:tcW w:w="0" w:type="auto"/>
            <w:vAlign w:val="center"/>
            <w:hideMark/>
          </w:tcPr>
          <w:p w14:paraId="28C84D4B" w14:textId="77777777" w:rsidR="00196CEB" w:rsidRPr="00196CEB" w:rsidRDefault="00196CEB" w:rsidP="00196CEB">
            <w:pPr>
              <w:rPr>
                <w:b/>
                <w:bCs/>
              </w:rPr>
            </w:pPr>
            <w:r w:rsidRPr="00196CEB">
              <w:rPr>
                <w:b/>
                <w:bCs/>
              </w:rPr>
              <w:t>Alert category</w:t>
            </w:r>
          </w:p>
        </w:tc>
        <w:tc>
          <w:tcPr>
            <w:tcW w:w="0" w:type="auto"/>
            <w:vAlign w:val="center"/>
            <w:hideMark/>
          </w:tcPr>
          <w:p w14:paraId="2749F5A3" w14:textId="77777777" w:rsidR="00196CEB" w:rsidRPr="00196CEB" w:rsidRDefault="00196CEB" w:rsidP="00196CEB">
            <w:pPr>
              <w:rPr>
                <w:b/>
                <w:bCs/>
              </w:rPr>
            </w:pPr>
            <w:r w:rsidRPr="00196CEB">
              <w:rPr>
                <w:b/>
                <w:bCs/>
              </w:rPr>
              <w:t>KPI</w:t>
            </w:r>
          </w:p>
        </w:tc>
        <w:tc>
          <w:tcPr>
            <w:tcW w:w="0" w:type="auto"/>
            <w:vAlign w:val="center"/>
            <w:hideMark/>
          </w:tcPr>
          <w:p w14:paraId="5B613B51" w14:textId="77777777" w:rsidR="00196CEB" w:rsidRPr="00196CEB" w:rsidRDefault="00196CEB" w:rsidP="00196CEB">
            <w:pPr>
              <w:rPr>
                <w:b/>
                <w:bCs/>
              </w:rPr>
            </w:pPr>
            <w:r w:rsidRPr="00196CEB">
              <w:rPr>
                <w:rFonts w:ascii="Segoe UI Emoji" w:hAnsi="Segoe UI Emoji" w:cs="Segoe UI Emoji"/>
                <w:b/>
                <w:bCs/>
              </w:rPr>
              <w:t>✅</w:t>
            </w:r>
          </w:p>
        </w:tc>
      </w:tr>
      <w:tr w:rsidR="00196CEB" w:rsidRPr="00196CEB" w14:paraId="5AF183F2" w14:textId="77777777">
        <w:trPr>
          <w:tblCellSpacing w:w="15" w:type="dxa"/>
        </w:trPr>
        <w:tc>
          <w:tcPr>
            <w:tcW w:w="0" w:type="auto"/>
            <w:vAlign w:val="center"/>
            <w:hideMark/>
          </w:tcPr>
          <w:p w14:paraId="35182474" w14:textId="77777777" w:rsidR="00196CEB" w:rsidRPr="00196CEB" w:rsidRDefault="00196CEB" w:rsidP="00196CEB">
            <w:pPr>
              <w:rPr>
                <w:b/>
                <w:bCs/>
              </w:rPr>
            </w:pPr>
            <w:r w:rsidRPr="00196CEB">
              <w:rPr>
                <w:b/>
                <w:bCs/>
              </w:rPr>
              <w:t>Alerts by asset type</w:t>
            </w:r>
          </w:p>
        </w:tc>
        <w:tc>
          <w:tcPr>
            <w:tcW w:w="0" w:type="auto"/>
            <w:vAlign w:val="center"/>
            <w:hideMark/>
          </w:tcPr>
          <w:p w14:paraId="7A3B5166" w14:textId="77777777" w:rsidR="00196CEB" w:rsidRPr="00196CEB" w:rsidRDefault="00196CEB" w:rsidP="00196CEB">
            <w:pPr>
              <w:rPr>
                <w:b/>
                <w:bCs/>
              </w:rPr>
            </w:pPr>
            <w:r w:rsidRPr="00196CEB">
              <w:rPr>
                <w:b/>
                <w:bCs/>
              </w:rPr>
              <w:t>KPI</w:t>
            </w:r>
          </w:p>
        </w:tc>
        <w:tc>
          <w:tcPr>
            <w:tcW w:w="0" w:type="auto"/>
            <w:vAlign w:val="center"/>
            <w:hideMark/>
          </w:tcPr>
          <w:p w14:paraId="50AEBF66" w14:textId="77777777" w:rsidR="00196CEB" w:rsidRPr="00196CEB" w:rsidRDefault="00196CEB" w:rsidP="00196CEB">
            <w:pPr>
              <w:rPr>
                <w:b/>
                <w:bCs/>
              </w:rPr>
            </w:pPr>
            <w:r w:rsidRPr="00196CEB">
              <w:rPr>
                <w:rFonts w:ascii="Segoe UI Emoji" w:hAnsi="Segoe UI Emoji" w:cs="Segoe UI Emoji"/>
                <w:b/>
                <w:bCs/>
              </w:rPr>
              <w:t>✅</w:t>
            </w:r>
          </w:p>
        </w:tc>
      </w:tr>
      <w:tr w:rsidR="00196CEB" w:rsidRPr="00196CEB" w14:paraId="072EC1EF" w14:textId="77777777">
        <w:trPr>
          <w:tblCellSpacing w:w="15" w:type="dxa"/>
        </w:trPr>
        <w:tc>
          <w:tcPr>
            <w:tcW w:w="0" w:type="auto"/>
            <w:vAlign w:val="center"/>
            <w:hideMark/>
          </w:tcPr>
          <w:p w14:paraId="7E5FB739" w14:textId="77777777" w:rsidR="00196CEB" w:rsidRPr="00196CEB" w:rsidRDefault="00196CEB" w:rsidP="00196CEB">
            <w:pPr>
              <w:rPr>
                <w:b/>
                <w:bCs/>
              </w:rPr>
            </w:pPr>
            <w:r w:rsidRPr="00196CEB">
              <w:rPr>
                <w:b/>
                <w:bCs/>
              </w:rPr>
              <w:t>Top affected usernames</w:t>
            </w:r>
          </w:p>
        </w:tc>
        <w:tc>
          <w:tcPr>
            <w:tcW w:w="0" w:type="auto"/>
            <w:vAlign w:val="center"/>
            <w:hideMark/>
          </w:tcPr>
          <w:p w14:paraId="3904FD85" w14:textId="77777777" w:rsidR="00196CEB" w:rsidRPr="00196CEB" w:rsidRDefault="00196CEB" w:rsidP="00196CEB">
            <w:pPr>
              <w:rPr>
                <w:b/>
                <w:bCs/>
              </w:rPr>
            </w:pPr>
            <w:r w:rsidRPr="00196CEB">
              <w:rPr>
                <w:b/>
                <w:bCs/>
              </w:rPr>
              <w:t>KPI</w:t>
            </w:r>
          </w:p>
        </w:tc>
        <w:tc>
          <w:tcPr>
            <w:tcW w:w="0" w:type="auto"/>
            <w:vAlign w:val="center"/>
            <w:hideMark/>
          </w:tcPr>
          <w:p w14:paraId="0F7E9BE1" w14:textId="77777777" w:rsidR="00196CEB" w:rsidRPr="00196CEB" w:rsidRDefault="00196CEB" w:rsidP="00196CEB">
            <w:pPr>
              <w:rPr>
                <w:b/>
                <w:bCs/>
              </w:rPr>
            </w:pPr>
            <w:r w:rsidRPr="00196CEB">
              <w:rPr>
                <w:rFonts w:ascii="Segoe UI Emoji" w:hAnsi="Segoe UI Emoji" w:cs="Segoe UI Emoji"/>
                <w:b/>
                <w:bCs/>
              </w:rPr>
              <w:t>✅</w:t>
            </w:r>
          </w:p>
        </w:tc>
      </w:tr>
      <w:tr w:rsidR="00196CEB" w:rsidRPr="00196CEB" w14:paraId="7F7D1D9A" w14:textId="77777777">
        <w:trPr>
          <w:tblCellSpacing w:w="15" w:type="dxa"/>
        </w:trPr>
        <w:tc>
          <w:tcPr>
            <w:tcW w:w="0" w:type="auto"/>
            <w:vAlign w:val="center"/>
            <w:hideMark/>
          </w:tcPr>
          <w:p w14:paraId="27D2B455" w14:textId="77777777" w:rsidR="00196CEB" w:rsidRPr="00196CEB" w:rsidRDefault="00196CEB" w:rsidP="00196CEB">
            <w:pPr>
              <w:rPr>
                <w:b/>
                <w:bCs/>
              </w:rPr>
            </w:pPr>
            <w:r w:rsidRPr="00196CEB">
              <w:rPr>
                <w:b/>
                <w:bCs/>
              </w:rPr>
              <w:t>Top affected hostnames</w:t>
            </w:r>
          </w:p>
        </w:tc>
        <w:tc>
          <w:tcPr>
            <w:tcW w:w="0" w:type="auto"/>
            <w:vAlign w:val="center"/>
            <w:hideMark/>
          </w:tcPr>
          <w:p w14:paraId="595CF7CB" w14:textId="77777777" w:rsidR="00196CEB" w:rsidRPr="00196CEB" w:rsidRDefault="00196CEB" w:rsidP="00196CEB">
            <w:pPr>
              <w:rPr>
                <w:b/>
                <w:bCs/>
              </w:rPr>
            </w:pPr>
            <w:r w:rsidRPr="00196CEB">
              <w:rPr>
                <w:b/>
                <w:bCs/>
              </w:rPr>
              <w:t>KPI</w:t>
            </w:r>
          </w:p>
        </w:tc>
        <w:tc>
          <w:tcPr>
            <w:tcW w:w="0" w:type="auto"/>
            <w:vAlign w:val="center"/>
            <w:hideMark/>
          </w:tcPr>
          <w:p w14:paraId="5E9B1B8F" w14:textId="77777777" w:rsidR="00196CEB" w:rsidRPr="00196CEB" w:rsidRDefault="00196CEB" w:rsidP="00196CEB">
            <w:pPr>
              <w:rPr>
                <w:b/>
                <w:bCs/>
              </w:rPr>
            </w:pPr>
            <w:r w:rsidRPr="00196CEB">
              <w:rPr>
                <w:rFonts w:ascii="Segoe UI Emoji" w:hAnsi="Segoe UI Emoji" w:cs="Segoe UI Emoji"/>
                <w:b/>
                <w:bCs/>
              </w:rPr>
              <w:t>✅</w:t>
            </w:r>
          </w:p>
        </w:tc>
      </w:tr>
    </w:tbl>
    <w:p w14:paraId="7DE5A948" w14:textId="77777777" w:rsidR="00196CEB" w:rsidRPr="00196CEB" w:rsidRDefault="00196CEB" w:rsidP="00196CEB">
      <w:pPr>
        <w:rPr>
          <w:b/>
          <w:bCs/>
        </w:rPr>
      </w:pPr>
      <w:r w:rsidRPr="00196CEB">
        <w:rPr>
          <w:b/>
          <w:bCs/>
        </w:rPr>
        <w:t>These mainly measure SOC activity, alert volume, and operational performance.</w:t>
      </w:r>
    </w:p>
    <w:p w14:paraId="6E9C3799" w14:textId="77777777" w:rsidR="00196CEB" w:rsidRPr="00196CEB" w:rsidRDefault="00196CEB" w:rsidP="00196CEB">
      <w:pPr>
        <w:rPr>
          <w:b/>
          <w:bCs/>
        </w:rPr>
      </w:pPr>
      <w:r w:rsidRPr="00196CEB">
        <w:rPr>
          <w:rFonts w:ascii="Segoe UI Emoji" w:hAnsi="Segoe UI Emoji" w:cs="Segoe UI Emoji"/>
          <w:b/>
          <w:bCs/>
        </w:rPr>
        <w:t>⚠️</w:t>
      </w:r>
      <w:r w:rsidRPr="00196CEB">
        <w:rPr>
          <w:b/>
          <w:bCs/>
        </w:rPr>
        <w:t xml:space="preserve"> Existing KRIs in the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5"/>
        <w:gridCol w:w="535"/>
        <w:gridCol w:w="3688"/>
      </w:tblGrid>
      <w:tr w:rsidR="00196CEB" w:rsidRPr="00196CEB" w14:paraId="4917215D" w14:textId="77777777">
        <w:trPr>
          <w:tblHeader/>
          <w:tblCellSpacing w:w="15" w:type="dxa"/>
        </w:trPr>
        <w:tc>
          <w:tcPr>
            <w:tcW w:w="0" w:type="auto"/>
            <w:vAlign w:val="center"/>
            <w:hideMark/>
          </w:tcPr>
          <w:p w14:paraId="7A0DDFF1" w14:textId="77777777" w:rsidR="00196CEB" w:rsidRPr="00196CEB" w:rsidRDefault="00196CEB" w:rsidP="00196CEB">
            <w:pPr>
              <w:rPr>
                <w:b/>
                <w:bCs/>
              </w:rPr>
            </w:pPr>
            <w:r w:rsidRPr="00196CEB">
              <w:rPr>
                <w:b/>
                <w:bCs/>
              </w:rPr>
              <w:t>Current Metric</w:t>
            </w:r>
          </w:p>
        </w:tc>
        <w:tc>
          <w:tcPr>
            <w:tcW w:w="0" w:type="auto"/>
            <w:vAlign w:val="center"/>
            <w:hideMark/>
          </w:tcPr>
          <w:p w14:paraId="01550808" w14:textId="77777777" w:rsidR="00196CEB" w:rsidRPr="00196CEB" w:rsidRDefault="00196CEB" w:rsidP="00196CEB">
            <w:pPr>
              <w:rPr>
                <w:b/>
                <w:bCs/>
              </w:rPr>
            </w:pPr>
            <w:r w:rsidRPr="00196CEB">
              <w:rPr>
                <w:b/>
                <w:bCs/>
              </w:rPr>
              <w:t>Type</w:t>
            </w:r>
          </w:p>
        </w:tc>
        <w:tc>
          <w:tcPr>
            <w:tcW w:w="0" w:type="auto"/>
            <w:vAlign w:val="center"/>
            <w:hideMark/>
          </w:tcPr>
          <w:p w14:paraId="3621C88A" w14:textId="77777777" w:rsidR="00196CEB" w:rsidRPr="00196CEB" w:rsidRDefault="00196CEB" w:rsidP="00196CEB">
            <w:pPr>
              <w:rPr>
                <w:b/>
                <w:bCs/>
              </w:rPr>
            </w:pPr>
            <w:r w:rsidRPr="00196CEB">
              <w:rPr>
                <w:b/>
                <w:bCs/>
              </w:rPr>
              <w:t>Why?</w:t>
            </w:r>
          </w:p>
        </w:tc>
      </w:tr>
      <w:tr w:rsidR="00196CEB" w:rsidRPr="00196CEB" w14:paraId="60478A0D" w14:textId="77777777">
        <w:trPr>
          <w:tblCellSpacing w:w="15" w:type="dxa"/>
        </w:trPr>
        <w:tc>
          <w:tcPr>
            <w:tcW w:w="0" w:type="auto"/>
            <w:vAlign w:val="center"/>
            <w:hideMark/>
          </w:tcPr>
          <w:p w14:paraId="1767B9D0" w14:textId="77777777" w:rsidR="00196CEB" w:rsidRPr="00196CEB" w:rsidRDefault="00196CEB" w:rsidP="00196CEB">
            <w:pPr>
              <w:rPr>
                <w:b/>
                <w:bCs/>
              </w:rPr>
            </w:pPr>
            <w:r w:rsidRPr="00196CEB">
              <w:rPr>
                <w:b/>
                <w:bCs/>
              </w:rPr>
              <w:t>Critical and High-severity alert count</w:t>
            </w:r>
          </w:p>
        </w:tc>
        <w:tc>
          <w:tcPr>
            <w:tcW w:w="0" w:type="auto"/>
            <w:vAlign w:val="center"/>
            <w:hideMark/>
          </w:tcPr>
          <w:p w14:paraId="01502FEA" w14:textId="77777777" w:rsidR="00196CEB" w:rsidRPr="00196CEB" w:rsidRDefault="00196CEB" w:rsidP="00196CEB">
            <w:pPr>
              <w:rPr>
                <w:b/>
                <w:bCs/>
              </w:rPr>
            </w:pPr>
            <w:r w:rsidRPr="00196CEB">
              <w:rPr>
                <w:b/>
                <w:bCs/>
              </w:rPr>
              <w:t>KRI</w:t>
            </w:r>
          </w:p>
        </w:tc>
        <w:tc>
          <w:tcPr>
            <w:tcW w:w="0" w:type="auto"/>
            <w:vAlign w:val="center"/>
            <w:hideMark/>
          </w:tcPr>
          <w:p w14:paraId="7C4AE531" w14:textId="77777777" w:rsidR="00196CEB" w:rsidRPr="00196CEB" w:rsidRDefault="00196CEB" w:rsidP="00196CEB">
            <w:pPr>
              <w:rPr>
                <w:b/>
                <w:bCs/>
              </w:rPr>
            </w:pPr>
            <w:r w:rsidRPr="00196CEB">
              <w:rPr>
                <w:b/>
                <w:bCs/>
              </w:rPr>
              <w:t>Shows high-risk security exposure</w:t>
            </w:r>
          </w:p>
        </w:tc>
      </w:tr>
      <w:tr w:rsidR="00196CEB" w:rsidRPr="00196CEB" w14:paraId="177AE61D" w14:textId="77777777">
        <w:trPr>
          <w:tblCellSpacing w:w="15" w:type="dxa"/>
        </w:trPr>
        <w:tc>
          <w:tcPr>
            <w:tcW w:w="0" w:type="auto"/>
            <w:vAlign w:val="center"/>
            <w:hideMark/>
          </w:tcPr>
          <w:p w14:paraId="338806D7" w14:textId="77777777" w:rsidR="00196CEB" w:rsidRPr="00196CEB" w:rsidRDefault="00196CEB" w:rsidP="00196CEB">
            <w:pPr>
              <w:rPr>
                <w:b/>
                <w:bCs/>
              </w:rPr>
            </w:pPr>
            <w:r w:rsidRPr="00196CEB">
              <w:rPr>
                <w:b/>
                <w:bCs/>
              </w:rPr>
              <w:t>Open alerts</w:t>
            </w:r>
          </w:p>
        </w:tc>
        <w:tc>
          <w:tcPr>
            <w:tcW w:w="0" w:type="auto"/>
            <w:vAlign w:val="center"/>
            <w:hideMark/>
          </w:tcPr>
          <w:p w14:paraId="047B3216" w14:textId="77777777" w:rsidR="00196CEB" w:rsidRPr="00196CEB" w:rsidRDefault="00196CEB" w:rsidP="00196CEB">
            <w:pPr>
              <w:rPr>
                <w:b/>
                <w:bCs/>
              </w:rPr>
            </w:pPr>
            <w:r w:rsidRPr="00196CEB">
              <w:rPr>
                <w:b/>
                <w:bCs/>
              </w:rPr>
              <w:t>KRI</w:t>
            </w:r>
          </w:p>
        </w:tc>
        <w:tc>
          <w:tcPr>
            <w:tcW w:w="0" w:type="auto"/>
            <w:vAlign w:val="center"/>
            <w:hideMark/>
          </w:tcPr>
          <w:p w14:paraId="053D3084" w14:textId="77777777" w:rsidR="00196CEB" w:rsidRPr="00196CEB" w:rsidRDefault="00196CEB" w:rsidP="00196CEB">
            <w:pPr>
              <w:rPr>
                <w:b/>
                <w:bCs/>
              </w:rPr>
            </w:pPr>
            <w:r w:rsidRPr="00196CEB">
              <w:rPr>
                <w:b/>
                <w:bCs/>
              </w:rPr>
              <w:t>Shows unresolved security exposure</w:t>
            </w:r>
          </w:p>
        </w:tc>
      </w:tr>
      <w:tr w:rsidR="00196CEB" w:rsidRPr="00196CEB" w14:paraId="5E8C0A4D" w14:textId="77777777">
        <w:trPr>
          <w:tblCellSpacing w:w="15" w:type="dxa"/>
        </w:trPr>
        <w:tc>
          <w:tcPr>
            <w:tcW w:w="0" w:type="auto"/>
            <w:vAlign w:val="center"/>
            <w:hideMark/>
          </w:tcPr>
          <w:p w14:paraId="60DA95D0" w14:textId="77777777" w:rsidR="00196CEB" w:rsidRPr="00196CEB" w:rsidRDefault="00196CEB" w:rsidP="00196CEB">
            <w:pPr>
              <w:rPr>
                <w:b/>
                <w:bCs/>
              </w:rPr>
            </w:pPr>
            <w:r w:rsidRPr="00196CEB">
              <w:rPr>
                <w:b/>
                <w:bCs/>
              </w:rPr>
              <w:t>Alerts pending from the customer</w:t>
            </w:r>
          </w:p>
        </w:tc>
        <w:tc>
          <w:tcPr>
            <w:tcW w:w="0" w:type="auto"/>
            <w:vAlign w:val="center"/>
            <w:hideMark/>
          </w:tcPr>
          <w:p w14:paraId="3CB23E01" w14:textId="77777777" w:rsidR="00196CEB" w:rsidRPr="00196CEB" w:rsidRDefault="00196CEB" w:rsidP="00196CEB">
            <w:pPr>
              <w:rPr>
                <w:b/>
                <w:bCs/>
              </w:rPr>
            </w:pPr>
            <w:r w:rsidRPr="00196CEB">
              <w:rPr>
                <w:b/>
                <w:bCs/>
              </w:rPr>
              <w:t>KRI</w:t>
            </w:r>
          </w:p>
        </w:tc>
        <w:tc>
          <w:tcPr>
            <w:tcW w:w="0" w:type="auto"/>
            <w:vAlign w:val="center"/>
            <w:hideMark/>
          </w:tcPr>
          <w:p w14:paraId="1D01865B" w14:textId="77777777" w:rsidR="00196CEB" w:rsidRPr="00196CEB" w:rsidRDefault="00196CEB" w:rsidP="00196CEB">
            <w:pPr>
              <w:rPr>
                <w:b/>
                <w:bCs/>
              </w:rPr>
            </w:pPr>
            <w:r w:rsidRPr="00196CEB">
              <w:rPr>
                <w:b/>
                <w:bCs/>
              </w:rPr>
              <w:t>Indicates delayed remediation risk</w:t>
            </w:r>
          </w:p>
        </w:tc>
      </w:tr>
      <w:tr w:rsidR="00196CEB" w:rsidRPr="00196CEB" w14:paraId="5277E8F5" w14:textId="77777777">
        <w:trPr>
          <w:tblCellSpacing w:w="15" w:type="dxa"/>
        </w:trPr>
        <w:tc>
          <w:tcPr>
            <w:tcW w:w="0" w:type="auto"/>
            <w:vAlign w:val="center"/>
            <w:hideMark/>
          </w:tcPr>
          <w:p w14:paraId="3D74237C" w14:textId="77777777" w:rsidR="00196CEB" w:rsidRPr="00196CEB" w:rsidRDefault="00196CEB" w:rsidP="00196CEB">
            <w:pPr>
              <w:rPr>
                <w:b/>
                <w:bCs/>
              </w:rPr>
            </w:pPr>
            <w:r w:rsidRPr="00196CEB">
              <w:rPr>
                <w:b/>
                <w:bCs/>
              </w:rPr>
              <w:t>Malware alerts</w:t>
            </w:r>
          </w:p>
        </w:tc>
        <w:tc>
          <w:tcPr>
            <w:tcW w:w="0" w:type="auto"/>
            <w:vAlign w:val="center"/>
            <w:hideMark/>
          </w:tcPr>
          <w:p w14:paraId="2B821B06" w14:textId="77777777" w:rsidR="00196CEB" w:rsidRPr="00196CEB" w:rsidRDefault="00196CEB" w:rsidP="00196CEB">
            <w:pPr>
              <w:rPr>
                <w:b/>
                <w:bCs/>
              </w:rPr>
            </w:pPr>
            <w:r w:rsidRPr="00196CEB">
              <w:rPr>
                <w:b/>
                <w:bCs/>
              </w:rPr>
              <w:t>KRI</w:t>
            </w:r>
          </w:p>
        </w:tc>
        <w:tc>
          <w:tcPr>
            <w:tcW w:w="0" w:type="auto"/>
            <w:vAlign w:val="center"/>
            <w:hideMark/>
          </w:tcPr>
          <w:p w14:paraId="395379E4" w14:textId="77777777" w:rsidR="00196CEB" w:rsidRPr="00196CEB" w:rsidRDefault="00196CEB" w:rsidP="00196CEB">
            <w:pPr>
              <w:rPr>
                <w:b/>
                <w:bCs/>
              </w:rPr>
            </w:pPr>
            <w:r w:rsidRPr="00196CEB">
              <w:rPr>
                <w:b/>
                <w:bCs/>
              </w:rPr>
              <w:t>Shows active malware exposure</w:t>
            </w:r>
          </w:p>
        </w:tc>
      </w:tr>
      <w:tr w:rsidR="00196CEB" w:rsidRPr="00196CEB" w14:paraId="067F5505" w14:textId="77777777">
        <w:trPr>
          <w:tblCellSpacing w:w="15" w:type="dxa"/>
        </w:trPr>
        <w:tc>
          <w:tcPr>
            <w:tcW w:w="0" w:type="auto"/>
            <w:vAlign w:val="center"/>
            <w:hideMark/>
          </w:tcPr>
          <w:p w14:paraId="5D30E3A2" w14:textId="77777777" w:rsidR="00196CEB" w:rsidRPr="00196CEB" w:rsidRDefault="00196CEB" w:rsidP="00196CEB">
            <w:pPr>
              <w:rPr>
                <w:b/>
                <w:bCs/>
              </w:rPr>
            </w:pPr>
            <w:r w:rsidRPr="00196CEB">
              <w:rPr>
                <w:b/>
                <w:bCs/>
              </w:rPr>
              <w:t>Alerts affecting assets</w:t>
            </w:r>
          </w:p>
        </w:tc>
        <w:tc>
          <w:tcPr>
            <w:tcW w:w="0" w:type="auto"/>
            <w:vAlign w:val="center"/>
            <w:hideMark/>
          </w:tcPr>
          <w:p w14:paraId="37999585" w14:textId="77777777" w:rsidR="00196CEB" w:rsidRPr="00196CEB" w:rsidRDefault="00196CEB" w:rsidP="00196CEB">
            <w:pPr>
              <w:rPr>
                <w:b/>
                <w:bCs/>
              </w:rPr>
            </w:pPr>
            <w:r w:rsidRPr="00196CEB">
              <w:rPr>
                <w:b/>
                <w:bCs/>
              </w:rPr>
              <w:t>KRI</w:t>
            </w:r>
          </w:p>
        </w:tc>
        <w:tc>
          <w:tcPr>
            <w:tcW w:w="0" w:type="auto"/>
            <w:vAlign w:val="center"/>
            <w:hideMark/>
          </w:tcPr>
          <w:p w14:paraId="1A09D6BA" w14:textId="77777777" w:rsidR="00196CEB" w:rsidRPr="00196CEB" w:rsidRDefault="00196CEB" w:rsidP="00196CEB">
            <w:pPr>
              <w:rPr>
                <w:b/>
                <w:bCs/>
              </w:rPr>
            </w:pPr>
            <w:r w:rsidRPr="00196CEB">
              <w:rPr>
                <w:b/>
                <w:bCs/>
              </w:rPr>
              <w:t>Shows potentially exposed systems</w:t>
            </w:r>
          </w:p>
        </w:tc>
      </w:tr>
    </w:tbl>
    <w:p w14:paraId="5DED642D" w14:textId="77777777" w:rsidR="00196CEB" w:rsidRPr="00196CEB" w:rsidRDefault="00196CEB" w:rsidP="00196CEB">
      <w:pPr>
        <w:rPr>
          <w:b/>
          <w:bCs/>
        </w:rPr>
      </w:pPr>
      <w:r w:rsidRPr="00196CEB">
        <w:rPr>
          <w:b/>
          <w:bCs/>
        </w:rPr>
        <w:t>However, the current report only shows the count. It does not define risk thresholds. For example:</w:t>
      </w:r>
    </w:p>
    <w:p w14:paraId="7728F77F" w14:textId="77777777" w:rsidR="00196CEB" w:rsidRPr="00196CEB" w:rsidRDefault="00196CEB" w:rsidP="00196CEB">
      <w:pPr>
        <w:rPr>
          <w:b/>
          <w:bCs/>
        </w:rPr>
      </w:pPr>
      <w:r w:rsidRPr="00196CEB">
        <w:rPr>
          <w:rFonts w:ascii="Segoe UI Emoji" w:hAnsi="Segoe UI Emoji" w:cs="Segoe UI Emoji"/>
          <w:b/>
          <w:bCs/>
        </w:rPr>
        <w:t>🟢</w:t>
      </w:r>
      <w:r w:rsidRPr="00196CEB">
        <w:rPr>
          <w:b/>
          <w:bCs/>
        </w:rPr>
        <w:t xml:space="preserve"> 0–2 open alerts = Low risk</w:t>
      </w:r>
      <w:r w:rsidRPr="00196CEB">
        <w:rPr>
          <w:b/>
          <w:bCs/>
        </w:rPr>
        <w:br/>
      </w:r>
      <w:r w:rsidRPr="00196CEB">
        <w:rPr>
          <w:rFonts w:ascii="Segoe UI Emoji" w:hAnsi="Segoe UI Emoji" w:cs="Segoe UI Emoji"/>
          <w:b/>
          <w:bCs/>
        </w:rPr>
        <w:t>🟡</w:t>
      </w:r>
      <w:r w:rsidRPr="00196CEB">
        <w:rPr>
          <w:b/>
          <w:bCs/>
        </w:rPr>
        <w:t xml:space="preserve"> 3–5 open alerts = Medium risk</w:t>
      </w:r>
      <w:r w:rsidRPr="00196CEB">
        <w:rPr>
          <w:b/>
          <w:bCs/>
        </w:rPr>
        <w:br/>
      </w:r>
      <w:r w:rsidRPr="00196CEB">
        <w:rPr>
          <w:rFonts w:ascii="Segoe UI Emoji" w:hAnsi="Segoe UI Emoji" w:cs="Segoe UI Emoji"/>
          <w:b/>
          <w:bCs/>
        </w:rPr>
        <w:t>🔴</w:t>
      </w:r>
      <w:r w:rsidRPr="00196CEB">
        <w:rPr>
          <w:b/>
          <w:bCs/>
        </w:rPr>
        <w:t xml:space="preserve"> More than 5 = High risk</w:t>
      </w:r>
    </w:p>
    <w:p w14:paraId="79ABCB94" w14:textId="77777777" w:rsidR="00196CEB" w:rsidRPr="00196CEB" w:rsidRDefault="00196CEB" w:rsidP="00196CEB">
      <w:pPr>
        <w:rPr>
          <w:b/>
          <w:bCs/>
        </w:rPr>
      </w:pPr>
      <w:r w:rsidRPr="00196CEB">
        <w:rPr>
          <w:b/>
          <w:bCs/>
        </w:rPr>
        <w:lastRenderedPageBreak/>
        <w:t>Without thresholds, these are mostly metrics—not strong KRIs.</w:t>
      </w:r>
    </w:p>
    <w:p w14:paraId="4EADE420" w14:textId="77777777" w:rsidR="00196CEB" w:rsidRPr="00196CEB" w:rsidRDefault="00196CEB" w:rsidP="00196CEB">
      <w:pPr>
        <w:rPr>
          <w:b/>
          <w:bCs/>
        </w:rPr>
      </w:pPr>
      <w:r w:rsidRPr="00196CEB">
        <w:rPr>
          <w:rFonts w:ascii="Segoe UI Emoji" w:hAnsi="Segoe UI Emoji" w:cs="Segoe UI Emoji"/>
          <w:b/>
          <w:bCs/>
        </w:rPr>
        <w:t>➕</w:t>
      </w:r>
      <w:r w:rsidRPr="00196CEB">
        <w:rPr>
          <w:b/>
          <w:bCs/>
        </w:rPr>
        <w:t xml:space="preserve"> KRIs that should be added</w:t>
      </w:r>
    </w:p>
    <w:p w14:paraId="0015871B" w14:textId="77777777" w:rsidR="00196CEB" w:rsidRPr="00196CEB" w:rsidRDefault="00196CEB" w:rsidP="00196CEB">
      <w:pPr>
        <w:rPr>
          <w:b/>
          <w:bCs/>
        </w:rPr>
      </w:pPr>
      <w:r w:rsidRPr="00196CEB">
        <w:rPr>
          <w:b/>
          <w:bCs/>
        </w:rPr>
        <w:t>For the common automated SOC report, 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5594"/>
      </w:tblGrid>
      <w:tr w:rsidR="00196CEB" w:rsidRPr="00196CEB" w14:paraId="26D3A577" w14:textId="77777777">
        <w:trPr>
          <w:tblHeader/>
          <w:tblCellSpacing w:w="15" w:type="dxa"/>
        </w:trPr>
        <w:tc>
          <w:tcPr>
            <w:tcW w:w="0" w:type="auto"/>
            <w:vAlign w:val="center"/>
            <w:hideMark/>
          </w:tcPr>
          <w:p w14:paraId="54ECC45D" w14:textId="77777777" w:rsidR="00196CEB" w:rsidRPr="00196CEB" w:rsidRDefault="00196CEB" w:rsidP="00196CEB">
            <w:pPr>
              <w:rPr>
                <w:b/>
                <w:bCs/>
              </w:rPr>
            </w:pPr>
            <w:r w:rsidRPr="00196CEB">
              <w:rPr>
                <w:b/>
                <w:bCs/>
              </w:rPr>
              <w:t>Recommended KRI</w:t>
            </w:r>
          </w:p>
        </w:tc>
        <w:tc>
          <w:tcPr>
            <w:tcW w:w="0" w:type="auto"/>
            <w:vAlign w:val="center"/>
            <w:hideMark/>
          </w:tcPr>
          <w:p w14:paraId="1A360E6A" w14:textId="77777777" w:rsidR="00196CEB" w:rsidRPr="00196CEB" w:rsidRDefault="00196CEB" w:rsidP="00196CEB">
            <w:pPr>
              <w:rPr>
                <w:b/>
                <w:bCs/>
              </w:rPr>
            </w:pPr>
            <w:r w:rsidRPr="00196CEB">
              <w:rPr>
                <w:b/>
                <w:bCs/>
              </w:rPr>
              <w:t>Why it is needed</w:t>
            </w:r>
          </w:p>
        </w:tc>
      </w:tr>
      <w:tr w:rsidR="00196CEB" w:rsidRPr="00196CEB" w14:paraId="687135E1" w14:textId="77777777">
        <w:trPr>
          <w:tblCellSpacing w:w="15" w:type="dxa"/>
        </w:trPr>
        <w:tc>
          <w:tcPr>
            <w:tcW w:w="0" w:type="auto"/>
            <w:vAlign w:val="center"/>
            <w:hideMark/>
          </w:tcPr>
          <w:p w14:paraId="207F9F79" w14:textId="77777777" w:rsidR="00196CEB" w:rsidRPr="00196CEB" w:rsidRDefault="00196CEB" w:rsidP="00196CEB">
            <w:pPr>
              <w:rPr>
                <w:b/>
                <w:bCs/>
              </w:rPr>
            </w:pPr>
            <w:r w:rsidRPr="00196CEB">
              <w:rPr>
                <w:b/>
                <w:bCs/>
              </w:rPr>
              <w:t>Critical and High Open Incidents</w:t>
            </w:r>
          </w:p>
        </w:tc>
        <w:tc>
          <w:tcPr>
            <w:tcW w:w="0" w:type="auto"/>
            <w:vAlign w:val="center"/>
            <w:hideMark/>
          </w:tcPr>
          <w:p w14:paraId="5B15A53F" w14:textId="77777777" w:rsidR="00196CEB" w:rsidRPr="00196CEB" w:rsidRDefault="00196CEB" w:rsidP="00196CEB">
            <w:pPr>
              <w:rPr>
                <w:b/>
                <w:bCs/>
              </w:rPr>
            </w:pPr>
            <w:r w:rsidRPr="00196CEB">
              <w:rPr>
                <w:b/>
                <w:bCs/>
              </w:rPr>
              <w:t>Shows current high-risk exposure</w:t>
            </w:r>
          </w:p>
        </w:tc>
      </w:tr>
      <w:tr w:rsidR="00196CEB" w:rsidRPr="00196CEB" w14:paraId="481A466B" w14:textId="77777777">
        <w:trPr>
          <w:tblCellSpacing w:w="15" w:type="dxa"/>
        </w:trPr>
        <w:tc>
          <w:tcPr>
            <w:tcW w:w="0" w:type="auto"/>
            <w:vAlign w:val="center"/>
            <w:hideMark/>
          </w:tcPr>
          <w:p w14:paraId="5A2CEA54" w14:textId="77777777" w:rsidR="00196CEB" w:rsidRPr="00196CEB" w:rsidRDefault="00196CEB" w:rsidP="00196CEB">
            <w:pPr>
              <w:rPr>
                <w:b/>
                <w:bCs/>
              </w:rPr>
            </w:pPr>
            <w:r w:rsidRPr="00196CEB">
              <w:rPr>
                <w:b/>
                <w:bCs/>
              </w:rPr>
              <w:t>SLA-Breached Incidents</w:t>
            </w:r>
          </w:p>
        </w:tc>
        <w:tc>
          <w:tcPr>
            <w:tcW w:w="0" w:type="auto"/>
            <w:vAlign w:val="center"/>
            <w:hideMark/>
          </w:tcPr>
          <w:p w14:paraId="08268072" w14:textId="77777777" w:rsidR="00196CEB" w:rsidRPr="00196CEB" w:rsidRDefault="00196CEB" w:rsidP="00196CEB">
            <w:pPr>
              <w:rPr>
                <w:b/>
                <w:bCs/>
              </w:rPr>
            </w:pPr>
            <w:r w:rsidRPr="00196CEB">
              <w:rPr>
                <w:b/>
                <w:bCs/>
              </w:rPr>
              <w:t>Shows incidents not resolved within the agreed time</w:t>
            </w:r>
          </w:p>
        </w:tc>
      </w:tr>
      <w:tr w:rsidR="00196CEB" w:rsidRPr="00196CEB" w14:paraId="1EB8715D" w14:textId="77777777">
        <w:trPr>
          <w:tblCellSpacing w:w="15" w:type="dxa"/>
        </w:trPr>
        <w:tc>
          <w:tcPr>
            <w:tcW w:w="0" w:type="auto"/>
            <w:vAlign w:val="center"/>
            <w:hideMark/>
          </w:tcPr>
          <w:p w14:paraId="330C48C5" w14:textId="77777777" w:rsidR="00196CEB" w:rsidRPr="00196CEB" w:rsidRDefault="00196CEB" w:rsidP="00196CEB">
            <w:pPr>
              <w:rPr>
                <w:b/>
                <w:bCs/>
              </w:rPr>
            </w:pPr>
            <w:r w:rsidRPr="00196CEB">
              <w:rPr>
                <w:b/>
                <w:bCs/>
              </w:rPr>
              <w:t>Incident Ageing</w:t>
            </w:r>
          </w:p>
        </w:tc>
        <w:tc>
          <w:tcPr>
            <w:tcW w:w="0" w:type="auto"/>
            <w:vAlign w:val="center"/>
            <w:hideMark/>
          </w:tcPr>
          <w:p w14:paraId="7950757F" w14:textId="77777777" w:rsidR="00196CEB" w:rsidRPr="00196CEB" w:rsidRDefault="00196CEB" w:rsidP="00196CEB">
            <w:pPr>
              <w:rPr>
                <w:b/>
                <w:bCs/>
              </w:rPr>
            </w:pPr>
            <w:r w:rsidRPr="00196CEB">
              <w:rPr>
                <w:b/>
                <w:bCs/>
              </w:rPr>
              <w:t>Identifies alerts open for too long</w:t>
            </w:r>
          </w:p>
        </w:tc>
      </w:tr>
      <w:tr w:rsidR="00196CEB" w:rsidRPr="00196CEB" w14:paraId="30AB0B4E" w14:textId="77777777">
        <w:trPr>
          <w:tblCellSpacing w:w="15" w:type="dxa"/>
        </w:trPr>
        <w:tc>
          <w:tcPr>
            <w:tcW w:w="0" w:type="auto"/>
            <w:vAlign w:val="center"/>
            <w:hideMark/>
          </w:tcPr>
          <w:p w14:paraId="24E1C9BD" w14:textId="77777777" w:rsidR="00196CEB" w:rsidRPr="00196CEB" w:rsidRDefault="00196CEB" w:rsidP="00196CEB">
            <w:pPr>
              <w:rPr>
                <w:b/>
                <w:bCs/>
              </w:rPr>
            </w:pPr>
            <w:r w:rsidRPr="00196CEB">
              <w:rPr>
                <w:b/>
                <w:bCs/>
              </w:rPr>
              <w:t>High-Risk Assets Affected</w:t>
            </w:r>
          </w:p>
        </w:tc>
        <w:tc>
          <w:tcPr>
            <w:tcW w:w="0" w:type="auto"/>
            <w:vAlign w:val="center"/>
            <w:hideMark/>
          </w:tcPr>
          <w:p w14:paraId="0505200B" w14:textId="77777777" w:rsidR="00196CEB" w:rsidRPr="00196CEB" w:rsidRDefault="00196CEB" w:rsidP="00196CEB">
            <w:pPr>
              <w:rPr>
                <w:b/>
                <w:bCs/>
              </w:rPr>
            </w:pPr>
            <w:r w:rsidRPr="00196CEB">
              <w:rPr>
                <w:b/>
                <w:bCs/>
              </w:rPr>
              <w:t>Shows threats affecting critical servers or systems</w:t>
            </w:r>
          </w:p>
        </w:tc>
      </w:tr>
      <w:tr w:rsidR="00196CEB" w:rsidRPr="00196CEB" w14:paraId="38183339" w14:textId="77777777">
        <w:trPr>
          <w:tblCellSpacing w:w="15" w:type="dxa"/>
        </w:trPr>
        <w:tc>
          <w:tcPr>
            <w:tcW w:w="0" w:type="auto"/>
            <w:vAlign w:val="center"/>
            <w:hideMark/>
          </w:tcPr>
          <w:p w14:paraId="2CDD89DA" w14:textId="77777777" w:rsidR="00196CEB" w:rsidRPr="00196CEB" w:rsidRDefault="00196CEB" w:rsidP="00196CEB">
            <w:pPr>
              <w:rPr>
                <w:b/>
                <w:bCs/>
              </w:rPr>
            </w:pPr>
            <w:r w:rsidRPr="00196CEB">
              <w:rPr>
                <w:b/>
                <w:bCs/>
              </w:rPr>
              <w:t>Repeat Incidents</w:t>
            </w:r>
          </w:p>
        </w:tc>
        <w:tc>
          <w:tcPr>
            <w:tcW w:w="0" w:type="auto"/>
            <w:vAlign w:val="center"/>
            <w:hideMark/>
          </w:tcPr>
          <w:p w14:paraId="49FE33DB" w14:textId="77777777" w:rsidR="00196CEB" w:rsidRPr="00196CEB" w:rsidRDefault="00196CEB" w:rsidP="00196CEB">
            <w:pPr>
              <w:rPr>
                <w:b/>
                <w:bCs/>
              </w:rPr>
            </w:pPr>
            <w:r w:rsidRPr="00196CEB">
              <w:rPr>
                <w:b/>
                <w:bCs/>
              </w:rPr>
              <w:t>Identifies recurring threats and unresolved root causes</w:t>
            </w:r>
          </w:p>
        </w:tc>
      </w:tr>
      <w:tr w:rsidR="00196CEB" w:rsidRPr="00196CEB" w14:paraId="4C5F59D3" w14:textId="77777777">
        <w:trPr>
          <w:tblCellSpacing w:w="15" w:type="dxa"/>
        </w:trPr>
        <w:tc>
          <w:tcPr>
            <w:tcW w:w="0" w:type="auto"/>
            <w:vAlign w:val="center"/>
            <w:hideMark/>
          </w:tcPr>
          <w:p w14:paraId="1371E34F" w14:textId="77777777" w:rsidR="00196CEB" w:rsidRPr="00196CEB" w:rsidRDefault="00196CEB" w:rsidP="00196CEB">
            <w:pPr>
              <w:rPr>
                <w:b/>
                <w:bCs/>
              </w:rPr>
            </w:pPr>
            <w:r w:rsidRPr="00196CEB">
              <w:rPr>
                <w:b/>
                <w:bCs/>
              </w:rPr>
              <w:t>Critical Vulnerabilities Open</w:t>
            </w:r>
          </w:p>
        </w:tc>
        <w:tc>
          <w:tcPr>
            <w:tcW w:w="0" w:type="auto"/>
            <w:vAlign w:val="center"/>
            <w:hideMark/>
          </w:tcPr>
          <w:p w14:paraId="1329F9C3" w14:textId="77777777" w:rsidR="00196CEB" w:rsidRPr="00196CEB" w:rsidRDefault="00196CEB" w:rsidP="00196CEB">
            <w:pPr>
              <w:rPr>
                <w:b/>
                <w:bCs/>
              </w:rPr>
            </w:pPr>
            <w:r w:rsidRPr="00196CEB">
              <w:rPr>
                <w:b/>
                <w:bCs/>
              </w:rPr>
              <w:t>Shows vulnerability exposure</w:t>
            </w:r>
          </w:p>
        </w:tc>
      </w:tr>
      <w:tr w:rsidR="00196CEB" w:rsidRPr="00196CEB" w14:paraId="100515E9" w14:textId="77777777">
        <w:trPr>
          <w:tblCellSpacing w:w="15" w:type="dxa"/>
        </w:trPr>
        <w:tc>
          <w:tcPr>
            <w:tcW w:w="0" w:type="auto"/>
            <w:vAlign w:val="center"/>
            <w:hideMark/>
          </w:tcPr>
          <w:p w14:paraId="0105BF09" w14:textId="77777777" w:rsidR="00196CEB" w:rsidRPr="00196CEB" w:rsidRDefault="00196CEB" w:rsidP="00196CEB">
            <w:pPr>
              <w:rPr>
                <w:b/>
                <w:bCs/>
              </w:rPr>
            </w:pPr>
            <w:r w:rsidRPr="00196CEB">
              <w:rPr>
                <w:b/>
                <w:bCs/>
              </w:rPr>
              <w:t>Critical Vulnerability Ageing</w:t>
            </w:r>
          </w:p>
        </w:tc>
        <w:tc>
          <w:tcPr>
            <w:tcW w:w="0" w:type="auto"/>
            <w:vAlign w:val="center"/>
            <w:hideMark/>
          </w:tcPr>
          <w:p w14:paraId="547E6567" w14:textId="77777777" w:rsidR="00196CEB" w:rsidRPr="00196CEB" w:rsidRDefault="00196CEB" w:rsidP="00196CEB">
            <w:pPr>
              <w:rPr>
                <w:b/>
                <w:bCs/>
              </w:rPr>
            </w:pPr>
            <w:r w:rsidRPr="00196CEB">
              <w:rPr>
                <w:b/>
                <w:bCs/>
              </w:rPr>
              <w:t>Shows how long critical vulnerabilities remain unresolved</w:t>
            </w:r>
          </w:p>
        </w:tc>
      </w:tr>
      <w:tr w:rsidR="00196CEB" w:rsidRPr="00196CEB" w14:paraId="0F4492FC" w14:textId="77777777">
        <w:trPr>
          <w:tblCellSpacing w:w="15" w:type="dxa"/>
        </w:trPr>
        <w:tc>
          <w:tcPr>
            <w:tcW w:w="0" w:type="auto"/>
            <w:vAlign w:val="center"/>
            <w:hideMark/>
          </w:tcPr>
          <w:p w14:paraId="2E264365" w14:textId="77777777" w:rsidR="00196CEB" w:rsidRPr="00196CEB" w:rsidRDefault="00196CEB" w:rsidP="00196CEB">
            <w:pPr>
              <w:rPr>
                <w:b/>
                <w:bCs/>
              </w:rPr>
            </w:pPr>
            <w:r w:rsidRPr="00196CEB">
              <w:rPr>
                <w:b/>
                <w:bCs/>
              </w:rPr>
              <w:t>Security Monitoring Coverage Gap</w:t>
            </w:r>
          </w:p>
        </w:tc>
        <w:tc>
          <w:tcPr>
            <w:tcW w:w="0" w:type="auto"/>
            <w:vAlign w:val="center"/>
            <w:hideMark/>
          </w:tcPr>
          <w:p w14:paraId="0CF43291" w14:textId="77777777" w:rsidR="00196CEB" w:rsidRPr="00196CEB" w:rsidRDefault="00196CEB" w:rsidP="00196CEB">
            <w:pPr>
              <w:rPr>
                <w:b/>
                <w:bCs/>
              </w:rPr>
            </w:pPr>
            <w:r w:rsidRPr="00196CEB">
              <w:rPr>
                <w:b/>
                <w:bCs/>
              </w:rPr>
              <w:t>Identifies assets not monitored by SIEM or EDR</w:t>
            </w:r>
          </w:p>
        </w:tc>
      </w:tr>
      <w:tr w:rsidR="00196CEB" w:rsidRPr="00196CEB" w14:paraId="11F60E60" w14:textId="77777777">
        <w:trPr>
          <w:tblCellSpacing w:w="15" w:type="dxa"/>
        </w:trPr>
        <w:tc>
          <w:tcPr>
            <w:tcW w:w="0" w:type="auto"/>
            <w:vAlign w:val="center"/>
            <w:hideMark/>
          </w:tcPr>
          <w:p w14:paraId="54C78AC3" w14:textId="77777777" w:rsidR="00196CEB" w:rsidRPr="00196CEB" w:rsidRDefault="00196CEB" w:rsidP="00196CEB">
            <w:pPr>
              <w:rPr>
                <w:b/>
                <w:bCs/>
              </w:rPr>
            </w:pPr>
            <w:r w:rsidRPr="00196CEB">
              <w:rPr>
                <w:b/>
                <w:bCs/>
              </w:rPr>
              <w:t>MITRE Detection Coverage Gap</w:t>
            </w:r>
          </w:p>
        </w:tc>
        <w:tc>
          <w:tcPr>
            <w:tcW w:w="0" w:type="auto"/>
            <w:vAlign w:val="center"/>
            <w:hideMark/>
          </w:tcPr>
          <w:p w14:paraId="0623440B" w14:textId="77777777" w:rsidR="00196CEB" w:rsidRPr="00196CEB" w:rsidRDefault="00196CEB" w:rsidP="00196CEB">
            <w:pPr>
              <w:rPr>
                <w:b/>
                <w:bCs/>
              </w:rPr>
            </w:pPr>
            <w:r w:rsidRPr="00196CEB">
              <w:rPr>
                <w:b/>
                <w:bCs/>
              </w:rPr>
              <w:t>Shows attack techniques without sufficient detection</w:t>
            </w:r>
          </w:p>
        </w:tc>
      </w:tr>
      <w:tr w:rsidR="00196CEB" w:rsidRPr="00196CEB" w14:paraId="58D0C965" w14:textId="77777777">
        <w:trPr>
          <w:tblCellSpacing w:w="15" w:type="dxa"/>
        </w:trPr>
        <w:tc>
          <w:tcPr>
            <w:tcW w:w="0" w:type="auto"/>
            <w:vAlign w:val="center"/>
            <w:hideMark/>
          </w:tcPr>
          <w:p w14:paraId="27922B14" w14:textId="77777777" w:rsidR="00196CEB" w:rsidRPr="00196CEB" w:rsidRDefault="00196CEB" w:rsidP="00196CEB">
            <w:pPr>
              <w:rPr>
                <w:b/>
                <w:bCs/>
              </w:rPr>
            </w:pPr>
            <w:r w:rsidRPr="00196CEB">
              <w:rPr>
                <w:b/>
                <w:bCs/>
              </w:rPr>
              <w:t>Privileged Account Incidents</w:t>
            </w:r>
          </w:p>
        </w:tc>
        <w:tc>
          <w:tcPr>
            <w:tcW w:w="0" w:type="auto"/>
            <w:vAlign w:val="center"/>
            <w:hideMark/>
          </w:tcPr>
          <w:p w14:paraId="2D8B6C91" w14:textId="77777777" w:rsidR="00196CEB" w:rsidRPr="00196CEB" w:rsidRDefault="00196CEB" w:rsidP="00196CEB">
            <w:pPr>
              <w:rPr>
                <w:b/>
                <w:bCs/>
              </w:rPr>
            </w:pPr>
            <w:r w:rsidRPr="00196CEB">
              <w:rPr>
                <w:b/>
                <w:bCs/>
              </w:rPr>
              <w:t>Tracks threats involving admin accounts</w:t>
            </w:r>
          </w:p>
        </w:tc>
      </w:tr>
      <w:tr w:rsidR="00196CEB" w:rsidRPr="00196CEB" w14:paraId="08A2AAEB" w14:textId="77777777">
        <w:trPr>
          <w:tblCellSpacing w:w="15" w:type="dxa"/>
        </w:trPr>
        <w:tc>
          <w:tcPr>
            <w:tcW w:w="0" w:type="auto"/>
            <w:vAlign w:val="center"/>
            <w:hideMark/>
          </w:tcPr>
          <w:p w14:paraId="5CCB15E9" w14:textId="77777777" w:rsidR="00196CEB" w:rsidRPr="00196CEB" w:rsidRDefault="00196CEB" w:rsidP="00196CEB">
            <w:pPr>
              <w:rPr>
                <w:b/>
                <w:bCs/>
              </w:rPr>
            </w:pPr>
            <w:r w:rsidRPr="00196CEB">
              <w:rPr>
                <w:b/>
                <w:bCs/>
              </w:rPr>
              <w:t>Malware/Ransomware Incidents</w:t>
            </w:r>
          </w:p>
        </w:tc>
        <w:tc>
          <w:tcPr>
            <w:tcW w:w="0" w:type="auto"/>
            <w:vAlign w:val="center"/>
            <w:hideMark/>
          </w:tcPr>
          <w:p w14:paraId="76146CE6" w14:textId="77777777" w:rsidR="00196CEB" w:rsidRPr="00196CEB" w:rsidRDefault="00196CEB" w:rsidP="00196CEB">
            <w:pPr>
              <w:rPr>
                <w:b/>
                <w:bCs/>
              </w:rPr>
            </w:pPr>
            <w:r w:rsidRPr="00196CEB">
              <w:rPr>
                <w:b/>
                <w:bCs/>
              </w:rPr>
              <w:t>Indicates high-impact malware exposure</w:t>
            </w:r>
          </w:p>
        </w:tc>
      </w:tr>
      <w:tr w:rsidR="00196CEB" w:rsidRPr="00196CEB" w14:paraId="47C9C05A" w14:textId="77777777">
        <w:trPr>
          <w:tblCellSpacing w:w="15" w:type="dxa"/>
        </w:trPr>
        <w:tc>
          <w:tcPr>
            <w:tcW w:w="0" w:type="auto"/>
            <w:vAlign w:val="center"/>
            <w:hideMark/>
          </w:tcPr>
          <w:p w14:paraId="6383BA7B" w14:textId="77777777" w:rsidR="00196CEB" w:rsidRPr="00196CEB" w:rsidRDefault="00196CEB" w:rsidP="00196CEB">
            <w:pPr>
              <w:rPr>
                <w:b/>
                <w:bCs/>
              </w:rPr>
            </w:pPr>
            <w:r w:rsidRPr="00196CEB">
              <w:rPr>
                <w:b/>
                <w:bCs/>
              </w:rPr>
              <w:t>Security Control Failure</w:t>
            </w:r>
          </w:p>
        </w:tc>
        <w:tc>
          <w:tcPr>
            <w:tcW w:w="0" w:type="auto"/>
            <w:vAlign w:val="center"/>
            <w:hideMark/>
          </w:tcPr>
          <w:p w14:paraId="4F95FAF7" w14:textId="77777777" w:rsidR="00196CEB" w:rsidRPr="00196CEB" w:rsidRDefault="00196CEB" w:rsidP="00196CEB">
            <w:pPr>
              <w:rPr>
                <w:b/>
                <w:bCs/>
              </w:rPr>
            </w:pPr>
            <w:r w:rsidRPr="00196CEB">
              <w:rPr>
                <w:b/>
                <w:bCs/>
              </w:rPr>
              <w:t>Tracks failures in EDR, SIEM, firewall, MFA, etc.</w:t>
            </w:r>
          </w:p>
        </w:tc>
      </w:tr>
    </w:tbl>
    <w:p w14:paraId="21E528BE" w14:textId="77777777" w:rsidR="00196CEB" w:rsidRPr="00196CEB" w:rsidRDefault="00196CEB" w:rsidP="00196CEB">
      <w:pPr>
        <w:rPr>
          <w:b/>
          <w:bCs/>
        </w:rPr>
      </w:pPr>
      <w:r w:rsidRPr="00196CEB">
        <w:rPr>
          <w:b/>
          <w:bCs/>
        </w:rPr>
        <w:t xml:space="preserve">Recommended common report structure </w:t>
      </w:r>
      <w:r w:rsidRPr="00196CEB">
        <w:rPr>
          <w:rFonts w:ascii="Segoe UI Emoji" w:hAnsi="Segoe UI Emoji" w:cs="Segoe UI Emoji"/>
          <w:b/>
          <w:bCs/>
        </w:rPr>
        <w:t>🎯</w:t>
      </w:r>
    </w:p>
    <w:p w14:paraId="6F58D803" w14:textId="77777777" w:rsidR="00196CEB" w:rsidRPr="00196CEB" w:rsidRDefault="00196CEB" w:rsidP="00196CEB">
      <w:pPr>
        <w:rPr>
          <w:b/>
          <w:bCs/>
        </w:rPr>
      </w:pPr>
      <w:r w:rsidRPr="00196CEB">
        <w:rPr>
          <w:b/>
          <w:bCs/>
        </w:rPr>
        <w:t>KPIs: Total alerts, Open vs Closed, Severity distribution, Alert trend, MTTA, MTTD, MTTR, SLA compliance, True Positive rate, False Positive rate, Top alerts, MITRE mapping, Top users, Top hosts, and Asset type.</w:t>
      </w:r>
    </w:p>
    <w:p w14:paraId="3E63E6DF" w14:textId="77777777" w:rsidR="00196CEB" w:rsidRPr="00196CEB" w:rsidRDefault="00196CEB" w:rsidP="00196CEB">
      <w:pPr>
        <w:rPr>
          <w:b/>
          <w:bCs/>
        </w:rPr>
      </w:pPr>
      <w:r w:rsidRPr="00196CEB">
        <w:rPr>
          <w:b/>
          <w:bCs/>
        </w:rPr>
        <w:t>KRIs: Open Critical/High incidents, SLA breaches, Incident ageing, Critical assets affected, Repeat incidents, Malware/ransomware exposure, Critical vulnerabilities, Monitoring gaps, Privileged-account incidents, and Security-control failures.</w:t>
      </w:r>
    </w:p>
    <w:p w14:paraId="199CD58D" w14:textId="77777777" w:rsidR="00196CEB" w:rsidRPr="00196CEB" w:rsidRDefault="00196CEB" w:rsidP="00196CEB">
      <w:pPr>
        <w:rPr>
          <w:b/>
          <w:bCs/>
        </w:rPr>
      </w:pPr>
      <w:r w:rsidRPr="00196CEB">
        <w:rPr>
          <w:b/>
          <w:bCs/>
        </w:rPr>
        <w:t xml:space="preserve">One important issue: the report currently does not contain MTTA, MTTD, MTTR, SLA compliance, TP/FP rate, incident ageing, or vulnerability risk. These should be added because the current report shows what alerts occurred, but not how efficiently the SOC handled them or how much unresolved risk remains. </w:t>
      </w:r>
      <w:r w:rsidRPr="00196CEB">
        <w:rPr>
          <w:rFonts w:ascii="Segoe UI Emoji" w:hAnsi="Segoe UI Emoji" w:cs="Segoe UI Emoji"/>
          <w:b/>
          <w:bCs/>
        </w:rPr>
        <w:t>📈</w:t>
      </w:r>
    </w:p>
    <w:p w14:paraId="30B94236" w14:textId="77777777" w:rsidR="00196CEB" w:rsidRPr="00196CEB" w:rsidRDefault="00196CEB" w:rsidP="00196CEB">
      <w:pPr>
        <w:rPr>
          <w:b/>
          <w:bCs/>
          <w:vanish/>
        </w:rPr>
      </w:pPr>
      <w:r w:rsidRPr="00196CEB">
        <w:rPr>
          <w:b/>
          <w:bCs/>
          <w:vanish/>
        </w:rPr>
        <w:lastRenderedPageBreak/>
        <w:t>Top of Form</w:t>
      </w:r>
    </w:p>
    <w:p w14:paraId="4E2DF01A" w14:textId="77777777" w:rsidR="00196CEB" w:rsidRPr="00196CEB" w:rsidRDefault="00196CEB" w:rsidP="00196CEB">
      <w:pPr>
        <w:rPr>
          <w:b/>
          <w:bCs/>
        </w:rPr>
      </w:pPr>
    </w:p>
    <w:p w14:paraId="5360F128" w14:textId="77777777" w:rsidR="00196CEB" w:rsidRPr="00196CEB" w:rsidRDefault="00196CEB" w:rsidP="00196CEB">
      <w:pPr>
        <w:rPr>
          <w:b/>
          <w:bCs/>
          <w:vanish/>
        </w:rPr>
      </w:pPr>
      <w:r w:rsidRPr="00196CEB">
        <w:rPr>
          <w:b/>
          <w:bCs/>
          <w:vanish/>
        </w:rPr>
        <w:t>Bottom of Form</w:t>
      </w:r>
    </w:p>
    <w:p w14:paraId="38BECC08" w14:textId="77777777" w:rsidR="00196CEB" w:rsidRPr="00196CEB" w:rsidRDefault="00196CEB">
      <w:pPr>
        <w:rPr>
          <w:b/>
          <w:bCs/>
        </w:rPr>
      </w:pPr>
    </w:p>
    <w:sectPr w:rsidR="00196CEB" w:rsidRPr="00196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540E1"/>
    <w:multiLevelType w:val="multilevel"/>
    <w:tmpl w:val="52BC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88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CEB"/>
    <w:rsid w:val="00196CEB"/>
    <w:rsid w:val="00312922"/>
    <w:rsid w:val="00463C1F"/>
    <w:rsid w:val="006A0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E627"/>
  <w15:chartTrackingRefBased/>
  <w15:docId w15:val="{6110C27D-DAD8-47C4-8991-3BF7C60F6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C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6C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C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C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C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C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6C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C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C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C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CEB"/>
    <w:rPr>
      <w:rFonts w:eastAsiaTheme="majorEastAsia" w:cstheme="majorBidi"/>
      <w:color w:val="272727" w:themeColor="text1" w:themeTint="D8"/>
    </w:rPr>
  </w:style>
  <w:style w:type="paragraph" w:styleId="Title">
    <w:name w:val="Title"/>
    <w:basedOn w:val="Normal"/>
    <w:next w:val="Normal"/>
    <w:link w:val="TitleChar"/>
    <w:uiPriority w:val="10"/>
    <w:qFormat/>
    <w:rsid w:val="00196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CEB"/>
    <w:pPr>
      <w:spacing w:before="160"/>
      <w:jc w:val="center"/>
    </w:pPr>
    <w:rPr>
      <w:i/>
      <w:iCs/>
      <w:color w:val="404040" w:themeColor="text1" w:themeTint="BF"/>
    </w:rPr>
  </w:style>
  <w:style w:type="character" w:customStyle="1" w:styleId="QuoteChar">
    <w:name w:val="Quote Char"/>
    <w:basedOn w:val="DefaultParagraphFont"/>
    <w:link w:val="Quote"/>
    <w:uiPriority w:val="29"/>
    <w:rsid w:val="00196CEB"/>
    <w:rPr>
      <w:i/>
      <w:iCs/>
      <w:color w:val="404040" w:themeColor="text1" w:themeTint="BF"/>
    </w:rPr>
  </w:style>
  <w:style w:type="paragraph" w:styleId="ListParagraph">
    <w:name w:val="List Paragraph"/>
    <w:basedOn w:val="Normal"/>
    <w:uiPriority w:val="34"/>
    <w:qFormat/>
    <w:rsid w:val="00196CEB"/>
    <w:pPr>
      <w:ind w:left="720"/>
      <w:contextualSpacing/>
    </w:pPr>
  </w:style>
  <w:style w:type="character" w:styleId="IntenseEmphasis">
    <w:name w:val="Intense Emphasis"/>
    <w:basedOn w:val="DefaultParagraphFont"/>
    <w:uiPriority w:val="21"/>
    <w:qFormat/>
    <w:rsid w:val="00196CEB"/>
    <w:rPr>
      <w:i/>
      <w:iCs/>
      <w:color w:val="2F5496" w:themeColor="accent1" w:themeShade="BF"/>
    </w:rPr>
  </w:style>
  <w:style w:type="paragraph" w:styleId="IntenseQuote">
    <w:name w:val="Intense Quote"/>
    <w:basedOn w:val="Normal"/>
    <w:next w:val="Normal"/>
    <w:link w:val="IntenseQuoteChar"/>
    <w:uiPriority w:val="30"/>
    <w:qFormat/>
    <w:rsid w:val="00196C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CEB"/>
    <w:rPr>
      <w:i/>
      <w:iCs/>
      <w:color w:val="2F5496" w:themeColor="accent1" w:themeShade="BF"/>
    </w:rPr>
  </w:style>
  <w:style w:type="character" w:styleId="IntenseReference">
    <w:name w:val="Intense Reference"/>
    <w:basedOn w:val="DefaultParagraphFont"/>
    <w:uiPriority w:val="32"/>
    <w:qFormat/>
    <w:rsid w:val="00196C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5</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Geeta Jogi</dc:creator>
  <cp:keywords/>
  <dc:description/>
  <cp:lastModifiedBy>Geeta Jogi</cp:lastModifiedBy>
  <cp:revision>1</cp:revision>
  <dcterms:created xsi:type="dcterms:W3CDTF">2026-07-10T07:00:00Z</dcterms:created>
  <dcterms:modified xsi:type="dcterms:W3CDTF">2026-07-13T07:36:00Z</dcterms:modified>
</cp:coreProperties>
</file>