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Ananya Pandey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3 Abu Al Abas from Abu Hanifa, AL Nady St. Tanta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jan2024001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 xml:space="preserve">2024-01-15 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bookmarkStart w:id="0" w:name="_GoBack"/>
            <w:bookmarkEnd w:id="0"/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30</w:t>
            </w:r>
          </w:p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1384" w:type="dxa"/>
            <w:tcBorders>
              <w:top w:val="nil"/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/>
              <w:t>2</w:t>
            </w:r>
          </w:p>
        </w:tc>
        <w:tc>
          <w:tcPr>
            <w:tcW w:w="4819" w:type="dxa"/>
            <w:gridSpan w:val="2"/>
            <w:tcBorders>
              <w:top w:val="nil"/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top w:val="nil"/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top w:val="nil"/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/>
              <w:t>40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Total Amount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70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Seventy dollars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Ananya Pandey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Misr Bank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239012000000389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BMISEGXXXX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EG81000202390239012000000389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8D3B-AC27-4A22-8531-338D3850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122</Words>
  <Characters>715</Characters>
  <CharactersWithSpaces>781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2025-05-16T16:01:23Z</dcterms:modified>
  <cp:revision>9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