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Alana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59 Emam St./ Nasr city/Cairo/Egypt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05:30:45.302000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20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Twenty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Alana Pandey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National Bank of Egypt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No.- 052500139249650202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NBEGEGCX052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