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Ritu Kumar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Cairo, Egypt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jan1970004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05:30:45.355000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60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60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Sixty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Ritu Kumar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Faisal Islamic Bank of Egypt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No.- 08700000447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FIEG EG CX XXX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EG34005900230000010001539967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