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4"/>
          <w:szCs w:val="24"/>
        </w:rPr>
      </w:pPr>
      <w:r>
        <w:rPr>
          <w:b/>
          <w:sz w:val="24"/>
          <w:szCs w:val="24"/>
        </w:rPr>
        <w:t>Project Design Phase</w:t>
      </w:r>
    </w:p>
    <w:p>
      <w:pPr>
        <w:pStyle w:val="Normal"/>
        <w:spacing w:before="0" w:after="0"/>
        <w:jc w:val="center"/>
        <w:rPr>
          <w:b/>
          <w:b/>
          <w:sz w:val="24"/>
          <w:szCs w:val="24"/>
        </w:rPr>
      </w:pPr>
      <w:r>
        <w:rPr>
          <w:b/>
          <w:sz w:val="24"/>
          <w:szCs w:val="24"/>
        </w:rPr>
        <w:t>Proposed Solution Template</w:t>
      </w:r>
    </w:p>
    <w:p>
      <w:pPr>
        <w:pStyle w:val="Normal"/>
        <w:spacing w:before="0" w:after="0"/>
        <w:jc w:val="center"/>
        <w:rPr>
          <w:b/>
          <w:b/>
        </w:rPr>
      </w:pPr>
      <w:r>
        <w:rPr>
          <w:b/>
        </w:rPr>
      </w:r>
    </w:p>
    <w:tbl>
      <w:tblPr>
        <w:tblStyle w:val="a"/>
        <w:tblW w:w="903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94"/>
        <w:gridCol w:w="4335"/>
      </w:tblGrid>
      <w:tr>
        <w:trPr/>
        <w:tc>
          <w:tcPr>
            <w:tcW w:w="4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r>
              <w:rPr/>
              <w:t xml:space="preserve"> Ju</w:t>
            </w:r>
            <w:r>
              <w:rPr/>
              <w:t>ly</w:t>
            </w:r>
            <w:r>
              <w:rPr/>
              <w:t xml:space="preserve">  2025</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LTVIP2025TMID41908</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GrainPalette - A Deep Learning Odyssey In Rice Type Classification Through Transfer Learning</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rPr>
      </w:pPr>
      <w:r>
        <w:rPr>
          <w:b/>
        </w:rPr>
      </w:r>
    </w:p>
    <w:p>
      <w:pPr>
        <w:pStyle w:val="Normal"/>
        <w:rPr>
          <w:b/>
          <w:b/>
        </w:rPr>
      </w:pPr>
      <w:r>
        <w:rPr>
          <w:b/>
        </w:rPr>
        <w:t>Proposed Solution Template:</w:t>
      </w:r>
    </w:p>
    <w:p>
      <w:pPr>
        <w:pStyle w:val="Normal"/>
        <w:rPr/>
      </w:pPr>
      <w:r>
        <w:rPr/>
        <w:t>Project team shall fill the following information in the proposed solution template.</w:t>
      </w:r>
    </w:p>
    <w:tbl>
      <w:tblPr>
        <w:tblStyle w:val="a0"/>
        <w:tblW w:w="906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01"/>
        <w:gridCol w:w="3657"/>
        <w:gridCol w:w="4509"/>
      </w:tblGrid>
      <w:tr>
        <w:trPr>
          <w:trHeight w:val="55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S.No.</w:t>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Parameter</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Description</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Farmers and suppliers face difficulty in accurately identifying and classifying different types of rice grains, leading to quality issues and reduced market value. Manual classification is time-consuming and error-prone.</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project "GrainPalette" uses deep learning and transfer learning techniques to automatically classify rice grain types from images with high accuracy. By training a Convolutional Neural Network (CNN) on pre-trained models like ResNet or MobileNet, we provide a fast, automated, and cost-effective rice type detection system.</w:t>
            </w:r>
          </w:p>
        </w:tc>
      </w:tr>
      <w:tr>
        <w:trPr>
          <w:trHeight w:val="78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The solution leverages transfer learning, reducing the need for large datasets and training time. It offers real-time classification with high precision and can be deployed as a mobile or web app for field use by farmers, millers, and traders.</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Helps farmers and traders get fair pricing by ensuring correct classification of rice. Reduces human error, saves time, and promotes trust in supply chains. Enhances customer satisfaction in retail and export industries by guaranteeing product quality.</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The solution can be offered as a subscription-based mobile app, a SaaS (Software as a Service) platform for traders and rice mills, or per-scan charges for small users. Future revenue can also come from data analytics services for agricultural stakeholders</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222222"/>
              </w:rPr>
            </w:pPr>
            <w:r>
              <w:rPr>
                <w:color w:val="222222"/>
              </w:rPr>
              <w:t>Scalability of the Solution</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The model can be scaled to classify other types of grains, pulses, or even agricultural produce. It can be deployed in multiple regions and integrated with e-commerce or export platforms for broader adoption.</w:t>
            </w:r>
          </w:p>
        </w:tc>
      </w:tr>
    </w:tbl>
    <w:p>
      <w:pPr>
        <w:pStyle w:val="Normal"/>
        <w:widowControl/>
        <w:bidi w:val="0"/>
        <w:spacing w:lineRule="auto" w:line="259" w:before="0" w:after="160"/>
        <w:jc w:val="left"/>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2</Pages>
  <Words>305</Words>
  <Characters>1773</Characters>
  <CharactersWithSpaces>2047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2025-07-09T15:41:19Z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