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92" w:lineRule="auto"/>
      </w:pPr>
      <w:bookmarkStart w:name="Global Malnutrition Trends (1983–2019) –" w:id="1"/>
      <w:bookmarkEnd w:id="1"/>
      <w:r>
        <w:rPr>
          <w:b w:val="0"/>
        </w:rPr>
      </w:r>
      <w:r>
        <w:rPr>
          <w:color w:val="E96F31"/>
          <w:spacing w:val="-6"/>
        </w:rPr>
        <w:t>Global</w:t>
      </w:r>
      <w:r>
        <w:rPr>
          <w:color w:val="E96F31"/>
          <w:spacing w:val="-29"/>
        </w:rPr>
        <w:t> </w:t>
      </w:r>
      <w:r>
        <w:rPr>
          <w:color w:val="E96F31"/>
          <w:spacing w:val="-6"/>
        </w:rPr>
        <w:t>Malnutrition</w:t>
      </w:r>
      <w:r>
        <w:rPr>
          <w:color w:val="E96F31"/>
          <w:spacing w:val="-26"/>
        </w:rPr>
        <w:t> </w:t>
      </w:r>
      <w:r>
        <w:rPr>
          <w:color w:val="E96F31"/>
          <w:spacing w:val="-6"/>
        </w:rPr>
        <w:t>Trends</w:t>
      </w:r>
      <w:r>
        <w:rPr>
          <w:color w:val="E96F31"/>
          <w:spacing w:val="-30"/>
        </w:rPr>
        <w:t> </w:t>
      </w:r>
      <w:r>
        <w:rPr>
          <w:color w:val="E96F31"/>
          <w:spacing w:val="-6"/>
        </w:rPr>
        <w:t>(1G83–201G)</w:t>
      </w:r>
      <w:r>
        <w:rPr>
          <w:color w:val="E96F31"/>
          <w:spacing w:val="-26"/>
        </w:rPr>
        <w:t> </w:t>
      </w:r>
      <w:r>
        <w:rPr>
          <w:color w:val="E96F31"/>
          <w:spacing w:val="-6"/>
        </w:rPr>
        <w:t>–</w:t>
      </w:r>
      <w:r>
        <w:rPr>
          <w:color w:val="E96F31"/>
          <w:spacing w:val="-34"/>
        </w:rPr>
        <w:t> </w:t>
      </w:r>
      <w:r>
        <w:rPr>
          <w:color w:val="E96F31"/>
          <w:spacing w:val="-6"/>
        </w:rPr>
        <w:t>Dashboard </w:t>
      </w:r>
      <w:r>
        <w:rPr>
          <w:color w:val="E96F31"/>
          <w:spacing w:val="-2"/>
        </w:rPr>
        <w:t>Outcomes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2"/>
        <w:rPr>
          <w:b/>
          <w:sz w:val="20"/>
        </w:rPr>
      </w:pPr>
    </w:p>
    <w:tbl>
      <w:tblPr>
        <w:tblW w:w="0" w:type="auto"/>
        <w:jc w:val="left"/>
        <w:tblInd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57"/>
        <w:gridCol w:w="4457"/>
      </w:tblGrid>
      <w:tr>
        <w:trPr>
          <w:trHeight w:val="490" w:hRule="atLeast"/>
        </w:trPr>
        <w:tc>
          <w:tcPr>
            <w:tcW w:w="445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45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June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2024</w:t>
            </w:r>
          </w:p>
        </w:tc>
      </w:tr>
      <w:tr>
        <w:trPr>
          <w:trHeight w:val="795" w:hRule="atLeast"/>
        </w:trPr>
        <w:tc>
          <w:tcPr>
            <w:tcW w:w="445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457" w:type="dxa"/>
          </w:tcPr>
          <w:p>
            <w:pPr>
              <w:pStyle w:val="TableParagraph"/>
              <w:spacing w:line="268" w:lineRule="auto"/>
              <w:rPr>
                <w:sz w:val="24"/>
              </w:rPr>
            </w:pPr>
            <w:r>
              <w:rPr>
                <w:sz w:val="24"/>
              </w:rPr>
              <w:t>Global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Malnutrition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Trends: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Power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BI Analysis (1983-2019)</w:t>
            </w:r>
          </w:p>
        </w:tc>
      </w:tr>
      <w:tr>
        <w:trPr>
          <w:trHeight w:val="490" w:hRule="atLeast"/>
        </w:trPr>
        <w:tc>
          <w:tcPr>
            <w:tcW w:w="4457" w:type="dxa"/>
          </w:tcPr>
          <w:p>
            <w:pPr>
              <w:pStyle w:val="TableParagraph"/>
              <w:spacing w:before="8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457" w:type="dxa"/>
          </w:tcPr>
          <w:p>
            <w:pPr>
              <w:pStyle w:val="TableParagraph"/>
              <w:spacing w:before="80"/>
              <w:rPr>
                <w:sz w:val="24"/>
              </w:rPr>
            </w:pPr>
            <w:r>
              <w:rPr>
                <w:sz w:val="24"/>
              </w:rPr>
              <w:t>5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97"/>
        <w:rPr>
          <w:b/>
          <w:sz w:val="28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914400</wp:posOffset>
            </wp:positionH>
            <wp:positionV relativeFrom="paragraph">
              <wp:posOffset>-3554694</wp:posOffset>
            </wp:positionV>
            <wp:extent cx="5943600" cy="334327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Key Outcomes from the Dashboard:" w:id="2"/>
      <w:bookmarkEnd w:id="2"/>
      <w:r>
        <w:rPr>
          <w:b w:val="0"/>
        </w:rPr>
      </w:r>
      <w:r>
        <w:rPr>
          <w:color w:val="0E4660"/>
          <w:spacing w:val="-2"/>
        </w:rPr>
        <w:t>Key</w:t>
      </w:r>
      <w:r>
        <w:rPr>
          <w:color w:val="0E4660"/>
          <w:spacing w:val="-28"/>
        </w:rPr>
        <w:t> </w:t>
      </w:r>
      <w:r>
        <w:rPr>
          <w:color w:val="0E4660"/>
          <w:spacing w:val="-2"/>
        </w:rPr>
        <w:t>Outcomes</w:t>
      </w:r>
      <w:r>
        <w:rPr>
          <w:color w:val="0E4660"/>
          <w:spacing w:val="-29"/>
        </w:rPr>
        <w:t> </w:t>
      </w:r>
      <w:r>
        <w:rPr>
          <w:color w:val="0E4660"/>
          <w:spacing w:val="-2"/>
        </w:rPr>
        <w:t>from</w:t>
      </w:r>
      <w:r>
        <w:rPr>
          <w:color w:val="0E4660"/>
          <w:spacing w:val="-29"/>
        </w:rPr>
        <w:t> </w:t>
      </w:r>
      <w:r>
        <w:rPr>
          <w:color w:val="0E4660"/>
          <w:spacing w:val="-2"/>
        </w:rPr>
        <w:t>the</w:t>
      </w:r>
      <w:r>
        <w:rPr>
          <w:color w:val="0E4660"/>
          <w:spacing w:val="-31"/>
        </w:rPr>
        <w:t> </w:t>
      </w:r>
      <w:r>
        <w:rPr>
          <w:color w:val="0E4660"/>
          <w:spacing w:val="-2"/>
        </w:rPr>
        <w:t>Dashboard:</w:t>
      </w:r>
    </w:p>
    <w:p>
      <w:pPr>
        <w:pStyle w:val="BodyText"/>
        <w:spacing w:before="28"/>
        <w:rPr>
          <w:b/>
          <w:sz w:val="28"/>
        </w:rPr>
      </w:pPr>
    </w:p>
    <w:p>
      <w:pPr>
        <w:pStyle w:val="BodyText"/>
        <w:spacing w:line="292" w:lineRule="auto"/>
        <w:ind w:left="721"/>
      </w:pPr>
      <w:r>
        <w:rPr>
          <w:b/>
          <w:spacing w:val="-4"/>
        </w:rPr>
        <w:t>U5</w:t>
      </w:r>
      <w:r>
        <w:rPr>
          <w:b/>
          <w:spacing w:val="-21"/>
        </w:rPr>
        <w:t> </w:t>
      </w:r>
      <w:r>
        <w:rPr>
          <w:b/>
          <w:spacing w:val="-4"/>
        </w:rPr>
        <w:t>Population</w:t>
      </w:r>
      <w:r>
        <w:rPr>
          <w:b/>
          <w:spacing w:val="-22"/>
        </w:rPr>
        <w:t> </w:t>
      </w:r>
      <w:r>
        <w:rPr>
          <w:b/>
          <w:spacing w:val="-4"/>
        </w:rPr>
        <w:t>Count</w:t>
      </w:r>
      <w:r>
        <w:rPr>
          <w:spacing w:val="-4"/>
        </w:rPr>
        <w:t>:</w:t>
      </w:r>
      <w:r>
        <w:rPr>
          <w:spacing w:val="-22"/>
        </w:rPr>
        <w:t> </w:t>
      </w:r>
      <w:r>
        <w:rPr>
          <w:spacing w:val="-4"/>
        </w:rPr>
        <w:t>The</w:t>
      </w:r>
      <w:r>
        <w:rPr>
          <w:spacing w:val="-25"/>
        </w:rPr>
        <w:t> </w:t>
      </w:r>
      <w:r>
        <w:rPr>
          <w:spacing w:val="-4"/>
        </w:rPr>
        <w:t>total</w:t>
      </w:r>
      <w:r>
        <w:rPr>
          <w:spacing w:val="-21"/>
        </w:rPr>
        <w:t> </w:t>
      </w:r>
      <w:r>
        <w:rPr>
          <w:spacing w:val="-4"/>
        </w:rPr>
        <w:t>count</w:t>
      </w:r>
      <w:r>
        <w:rPr>
          <w:spacing w:val="-26"/>
        </w:rPr>
        <w:t> </w:t>
      </w:r>
      <w:r>
        <w:rPr>
          <w:spacing w:val="-4"/>
        </w:rPr>
        <w:t>of</w:t>
      </w:r>
      <w:r>
        <w:rPr>
          <w:spacing w:val="-25"/>
        </w:rPr>
        <w:t> </w:t>
      </w:r>
      <w:r>
        <w:rPr>
          <w:spacing w:val="-4"/>
        </w:rPr>
        <w:t>the</w:t>
      </w:r>
      <w:r>
        <w:rPr>
          <w:spacing w:val="-25"/>
        </w:rPr>
        <w:t> </w:t>
      </w:r>
      <w:r>
        <w:rPr>
          <w:spacing w:val="-4"/>
        </w:rPr>
        <w:t>under-five</w:t>
      </w:r>
      <w:r>
        <w:rPr>
          <w:spacing w:val="-25"/>
        </w:rPr>
        <w:t> </w:t>
      </w:r>
      <w:r>
        <w:rPr>
          <w:spacing w:val="-4"/>
        </w:rPr>
        <w:t>(U5)</w:t>
      </w:r>
      <w:r>
        <w:rPr>
          <w:spacing w:val="-28"/>
        </w:rPr>
        <w:t> </w:t>
      </w:r>
      <w:r>
        <w:rPr>
          <w:spacing w:val="-4"/>
        </w:rPr>
        <w:t>population</w:t>
      </w:r>
      <w:r>
        <w:rPr>
          <w:spacing w:val="-25"/>
        </w:rPr>
        <w:t> </w:t>
      </w:r>
      <w:r>
        <w:rPr>
          <w:spacing w:val="-4"/>
        </w:rPr>
        <w:t>surveyed</w:t>
      </w:r>
      <w:r>
        <w:rPr>
          <w:spacing w:val="-23"/>
        </w:rPr>
        <w:t> </w:t>
      </w:r>
      <w:r>
        <w:rPr>
          <w:spacing w:val="-4"/>
        </w:rPr>
        <w:t>is </w:t>
      </w:r>
      <w:r>
        <w:rPr>
          <w:b/>
          <w:spacing w:val="-4"/>
        </w:rPr>
        <w:t>140</w:t>
      </w:r>
      <w:r>
        <w:rPr>
          <w:spacing w:val="-4"/>
        </w:rPr>
        <w:t>,</w:t>
      </w:r>
      <w:r>
        <w:rPr>
          <w:spacing w:val="-25"/>
        </w:rPr>
        <w:t> </w:t>
      </w:r>
      <w:r>
        <w:rPr>
          <w:spacing w:val="-4"/>
        </w:rPr>
        <w:t>providing</w:t>
      </w:r>
      <w:r>
        <w:rPr>
          <w:spacing w:val="-27"/>
        </w:rPr>
        <w:t> </w:t>
      </w:r>
      <w:r>
        <w:rPr>
          <w:spacing w:val="-4"/>
        </w:rPr>
        <w:t>insight</w:t>
      </w:r>
      <w:r>
        <w:rPr>
          <w:spacing w:val="-24"/>
        </w:rPr>
        <w:t> </w:t>
      </w:r>
      <w:r>
        <w:rPr>
          <w:spacing w:val="-4"/>
        </w:rPr>
        <w:t>into</w:t>
      </w:r>
      <w:r>
        <w:rPr>
          <w:spacing w:val="-19"/>
        </w:rPr>
        <w:t> </w:t>
      </w:r>
      <w:r>
        <w:rPr>
          <w:spacing w:val="-4"/>
        </w:rPr>
        <w:t>the</w:t>
      </w:r>
      <w:r>
        <w:rPr>
          <w:spacing w:val="-23"/>
        </w:rPr>
        <w:t> </w:t>
      </w:r>
      <w:r>
        <w:rPr>
          <w:spacing w:val="-4"/>
        </w:rPr>
        <w:t>population</w:t>
      </w:r>
      <w:r>
        <w:rPr>
          <w:spacing w:val="-19"/>
        </w:rPr>
        <w:t> </w:t>
      </w:r>
      <w:r>
        <w:rPr>
          <w:spacing w:val="-4"/>
        </w:rPr>
        <w:t>size</w:t>
      </w:r>
      <w:r>
        <w:rPr>
          <w:spacing w:val="-23"/>
        </w:rPr>
        <w:t> </w:t>
      </w:r>
      <w:r>
        <w:rPr>
          <w:spacing w:val="-4"/>
        </w:rPr>
        <w:t>considered</w:t>
      </w:r>
      <w:r>
        <w:rPr>
          <w:spacing w:val="-21"/>
        </w:rPr>
        <w:t> </w:t>
      </w:r>
      <w:r>
        <w:rPr>
          <w:spacing w:val="-4"/>
        </w:rPr>
        <w:t>for</w:t>
      </w:r>
      <w:r>
        <w:rPr>
          <w:spacing w:val="-21"/>
        </w:rPr>
        <w:t> </w:t>
      </w:r>
      <w:r>
        <w:rPr>
          <w:spacing w:val="-4"/>
        </w:rPr>
        <w:t>malnutrition</w:t>
      </w:r>
      <w:r>
        <w:rPr>
          <w:spacing w:val="-23"/>
        </w:rPr>
        <w:t> </w:t>
      </w:r>
      <w:r>
        <w:rPr>
          <w:spacing w:val="-4"/>
        </w:rPr>
        <w:t>analysis. </w:t>
      </w:r>
      <w:r>
        <w:rPr>
          <w:b/>
          <w:spacing w:val="-2"/>
        </w:rPr>
        <w:t>Survey</w:t>
      </w:r>
      <w:r>
        <w:rPr>
          <w:b/>
          <w:spacing w:val="-13"/>
        </w:rPr>
        <w:t> </w:t>
      </w:r>
      <w:r>
        <w:rPr>
          <w:b/>
          <w:spacing w:val="-2"/>
        </w:rPr>
        <w:t>Sample</w:t>
      </w:r>
      <w:r>
        <w:rPr>
          <w:b/>
          <w:spacing w:val="-13"/>
        </w:rPr>
        <w:t> </w:t>
      </w:r>
      <w:r>
        <w:rPr>
          <w:b/>
          <w:spacing w:val="-2"/>
        </w:rPr>
        <w:t>Size</w:t>
      </w:r>
      <w:r>
        <w:rPr>
          <w:spacing w:val="-2"/>
        </w:rPr>
        <w:t>: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total</w:t>
      </w:r>
      <w:r>
        <w:rPr>
          <w:spacing w:val="-11"/>
        </w:rPr>
        <w:t> </w:t>
      </w:r>
      <w:r>
        <w:rPr>
          <w:spacing w:val="-2"/>
        </w:rPr>
        <w:t>survey</w:t>
      </w:r>
      <w:r>
        <w:rPr>
          <w:spacing w:val="-19"/>
        </w:rPr>
        <w:t> </w:t>
      </w:r>
      <w:r>
        <w:rPr>
          <w:spacing w:val="-2"/>
        </w:rPr>
        <w:t>sample</w:t>
      </w:r>
      <w:r>
        <w:rPr>
          <w:spacing w:val="-16"/>
        </w:rPr>
        <w:t> </w:t>
      </w:r>
      <w:r>
        <w:rPr>
          <w:spacing w:val="-2"/>
        </w:rPr>
        <w:t>covers</w:t>
      </w:r>
      <w:r>
        <w:rPr>
          <w:spacing w:val="-11"/>
        </w:rPr>
        <w:t> </w:t>
      </w:r>
      <w:r>
        <w:rPr>
          <w:b/>
          <w:spacing w:val="-2"/>
        </w:rPr>
        <w:t>317</w:t>
      </w:r>
      <w:r>
        <w:rPr>
          <w:b/>
          <w:spacing w:val="-11"/>
        </w:rPr>
        <w:t> </w:t>
      </w:r>
      <w:r>
        <w:rPr>
          <w:b/>
          <w:spacing w:val="-2"/>
        </w:rPr>
        <w:t>million</w:t>
      </w:r>
      <w:r>
        <w:rPr>
          <w:b/>
          <w:spacing w:val="-16"/>
        </w:rPr>
        <w:t> </w:t>
      </w:r>
      <w:r>
        <w:rPr>
          <w:spacing w:val="-2"/>
        </w:rPr>
        <w:t>individuals, </w:t>
      </w:r>
      <w:r>
        <w:rPr/>
        <w:t>indicating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vastness</w:t>
      </w:r>
      <w:r>
        <w:rPr>
          <w:spacing w:val="-15"/>
        </w:rPr>
        <w:t> </w:t>
      </w:r>
      <w:r>
        <w:rPr/>
        <w:t>and</w:t>
      </w:r>
      <w:r>
        <w:rPr>
          <w:spacing w:val="-13"/>
        </w:rPr>
        <w:t> </w:t>
      </w:r>
      <w:r>
        <w:rPr/>
        <w:t>comprehensiveness</w:t>
      </w:r>
      <w:r>
        <w:rPr>
          <w:spacing w:val="-20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dataset.</w:t>
      </w:r>
    </w:p>
    <w:p>
      <w:pPr>
        <w:pStyle w:val="BodyText"/>
        <w:spacing w:after="0" w:line="292" w:lineRule="auto"/>
        <w:sectPr>
          <w:type w:val="continuous"/>
          <w:pgSz w:w="12240" w:h="15840"/>
          <w:pgMar w:top="1660" w:bottom="280" w:left="1440" w:right="1440"/>
        </w:sectPr>
      </w:pPr>
    </w:p>
    <w:p>
      <w:pPr>
        <w:spacing w:line="292" w:lineRule="auto" w:before="80"/>
        <w:ind w:left="721" w:right="600" w:firstLine="0"/>
        <w:jc w:val="both"/>
        <w:rPr>
          <w:sz w:val="24"/>
        </w:rPr>
      </w:pPr>
      <w:r>
        <w:rPr>
          <w:b/>
          <w:spacing w:val="-4"/>
          <w:sz w:val="24"/>
        </w:rPr>
        <w:t>Underweight</w:t>
      </w:r>
      <w:r>
        <w:rPr>
          <w:b/>
          <w:spacing w:val="-15"/>
          <w:sz w:val="24"/>
        </w:rPr>
        <w:t> </w:t>
      </w:r>
      <w:r>
        <w:rPr>
          <w:b/>
          <w:spacing w:val="-4"/>
          <w:sz w:val="24"/>
        </w:rPr>
        <w:t>Children</w:t>
      </w:r>
      <w:r>
        <w:rPr>
          <w:spacing w:val="-4"/>
          <w:sz w:val="24"/>
        </w:rPr>
        <w:t>: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dashboard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reveals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sum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14"/>
          <w:sz w:val="24"/>
        </w:rPr>
        <w:t> </w:t>
      </w:r>
      <w:r>
        <w:rPr>
          <w:b/>
          <w:spacing w:val="-4"/>
          <w:sz w:val="24"/>
        </w:rPr>
        <w:t>10.34K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underweight children</w:t>
      </w:r>
      <w:r>
        <w:rPr>
          <w:spacing w:val="-4"/>
          <w:sz w:val="24"/>
        </w:rPr>
        <w:t>,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showcasing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prevalence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underweight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cases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globally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during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the </w:t>
      </w:r>
      <w:r>
        <w:rPr>
          <w:sz w:val="24"/>
        </w:rPr>
        <w:t>study</w:t>
      </w:r>
      <w:r>
        <w:rPr>
          <w:spacing w:val="-10"/>
          <w:sz w:val="24"/>
        </w:rPr>
        <w:t> </w:t>
      </w:r>
      <w:r>
        <w:rPr>
          <w:sz w:val="24"/>
        </w:rPr>
        <w:t>period.</w:t>
      </w:r>
    </w:p>
    <w:p>
      <w:pPr>
        <w:spacing w:line="295" w:lineRule="auto" w:before="0"/>
        <w:ind w:left="721" w:right="0" w:firstLine="0"/>
        <w:jc w:val="left"/>
        <w:rPr>
          <w:sz w:val="24"/>
        </w:rPr>
      </w:pPr>
      <w:r>
        <w:rPr>
          <w:b/>
          <w:spacing w:val="-4"/>
          <w:sz w:val="24"/>
        </w:rPr>
        <w:t>Overweight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Distribution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by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Country</w:t>
      </w:r>
      <w:r>
        <w:rPr>
          <w:spacing w:val="-4"/>
          <w:sz w:val="24"/>
        </w:rPr>
        <w:t>: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top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countries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higher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overweight child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counts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include</w:t>
      </w:r>
      <w:r>
        <w:rPr>
          <w:spacing w:val="-13"/>
          <w:sz w:val="24"/>
        </w:rPr>
        <w:t> </w:t>
      </w:r>
      <w:r>
        <w:rPr>
          <w:b/>
          <w:spacing w:val="-4"/>
          <w:sz w:val="24"/>
        </w:rPr>
        <w:t>PERU,</w:t>
      </w:r>
      <w:r>
        <w:rPr>
          <w:b/>
          <w:spacing w:val="-17"/>
          <w:sz w:val="24"/>
        </w:rPr>
        <w:t> </w:t>
      </w:r>
      <w:r>
        <w:rPr>
          <w:b/>
          <w:spacing w:val="-4"/>
          <w:sz w:val="24"/>
        </w:rPr>
        <w:t>KUWAIT,</w:t>
      </w:r>
      <w:r>
        <w:rPr>
          <w:b/>
          <w:spacing w:val="-17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16"/>
          <w:sz w:val="24"/>
        </w:rPr>
        <w:t> </w:t>
      </w:r>
      <w:r>
        <w:rPr>
          <w:b/>
          <w:spacing w:val="-4"/>
          <w:sz w:val="24"/>
        </w:rPr>
        <w:t>JAMAICA</w:t>
      </w:r>
      <w:r>
        <w:rPr>
          <w:spacing w:val="-4"/>
          <w:sz w:val="24"/>
        </w:rPr>
        <w:t>,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highlighting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regional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trends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in </w:t>
      </w:r>
      <w:r>
        <w:rPr>
          <w:spacing w:val="-2"/>
          <w:sz w:val="24"/>
        </w:rPr>
        <w:t>overnutrition.</w:t>
      </w:r>
    </w:p>
    <w:p>
      <w:pPr>
        <w:spacing w:line="292" w:lineRule="auto" w:before="0"/>
        <w:ind w:left="721" w:right="0" w:firstLine="0"/>
        <w:jc w:val="left"/>
        <w:rPr>
          <w:sz w:val="24"/>
        </w:rPr>
      </w:pPr>
      <w:r>
        <w:rPr>
          <w:b/>
          <w:sz w:val="24"/>
        </w:rPr>
        <w:t>Stunting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Income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Classification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Insights</w:t>
      </w:r>
      <w:r>
        <w:rPr>
          <w:sz w:val="24"/>
        </w:rPr>
        <w:t>:</w:t>
      </w:r>
      <w:r>
        <w:rPr>
          <w:spacing w:val="-18"/>
          <w:sz w:val="24"/>
        </w:rPr>
        <w:t> </w:t>
      </w:r>
      <w:r>
        <w:rPr>
          <w:sz w:val="24"/>
        </w:rPr>
        <w:t>A</w:t>
      </w:r>
      <w:r>
        <w:rPr>
          <w:spacing w:val="-20"/>
          <w:sz w:val="24"/>
        </w:rPr>
        <w:t> </w:t>
      </w:r>
      <w:r>
        <w:rPr>
          <w:sz w:val="24"/>
        </w:rPr>
        <w:t>comparison</w:t>
      </w:r>
      <w:r>
        <w:rPr>
          <w:spacing w:val="-11"/>
          <w:sz w:val="24"/>
        </w:rPr>
        <w:t> </w:t>
      </w:r>
      <w:r>
        <w:rPr>
          <w:sz w:val="24"/>
        </w:rPr>
        <w:t>between</w:t>
      </w:r>
      <w:r>
        <w:rPr>
          <w:spacing w:val="-16"/>
          <w:sz w:val="24"/>
        </w:rPr>
        <w:t> </w:t>
      </w:r>
      <w:r>
        <w:rPr>
          <w:sz w:val="24"/>
        </w:rPr>
        <w:t>low-income and</w:t>
      </w:r>
      <w:r>
        <w:rPr>
          <w:spacing w:val="-24"/>
          <w:sz w:val="24"/>
        </w:rPr>
        <w:t> </w:t>
      </w:r>
      <w:r>
        <w:rPr>
          <w:sz w:val="24"/>
        </w:rPr>
        <w:t>high-income</w:t>
      </w:r>
      <w:r>
        <w:rPr>
          <w:spacing w:val="-21"/>
          <w:sz w:val="24"/>
        </w:rPr>
        <w:t> </w:t>
      </w:r>
      <w:r>
        <w:rPr>
          <w:sz w:val="24"/>
        </w:rPr>
        <w:t>classifications</w:t>
      </w:r>
      <w:r>
        <w:rPr>
          <w:spacing w:val="-22"/>
          <w:sz w:val="24"/>
        </w:rPr>
        <w:t> </w:t>
      </w:r>
      <w:r>
        <w:rPr>
          <w:sz w:val="24"/>
        </w:rPr>
        <w:t>indicates</w:t>
      </w:r>
      <w:r>
        <w:rPr>
          <w:spacing w:val="-26"/>
          <w:sz w:val="24"/>
        </w:rPr>
        <w:t> </w:t>
      </w:r>
      <w:r>
        <w:rPr>
          <w:sz w:val="24"/>
        </w:rPr>
        <w:t>that</w:t>
      </w:r>
      <w:r>
        <w:rPr>
          <w:spacing w:val="-12"/>
          <w:sz w:val="24"/>
        </w:rPr>
        <w:t> </w:t>
      </w:r>
      <w:r>
        <w:rPr>
          <w:b/>
          <w:sz w:val="24"/>
        </w:rPr>
        <w:t>lower-income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groups</w:t>
      </w:r>
      <w:r>
        <w:rPr>
          <w:b/>
          <w:spacing w:val="-24"/>
          <w:sz w:val="24"/>
        </w:rPr>
        <w:t> </w:t>
      </w:r>
      <w:r>
        <w:rPr>
          <w:b/>
          <w:sz w:val="24"/>
        </w:rPr>
        <w:t>exhibit </w:t>
      </w:r>
      <w:r>
        <w:rPr>
          <w:b/>
          <w:spacing w:val="-4"/>
          <w:sz w:val="24"/>
        </w:rPr>
        <w:t>higher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stunting</w:t>
      </w:r>
      <w:r>
        <w:rPr>
          <w:b/>
          <w:spacing w:val="-18"/>
          <w:sz w:val="24"/>
        </w:rPr>
        <w:t> </w:t>
      </w:r>
      <w:r>
        <w:rPr>
          <w:b/>
          <w:spacing w:val="-4"/>
          <w:sz w:val="24"/>
        </w:rPr>
        <w:t>averages</w:t>
      </w:r>
      <w:r>
        <w:rPr>
          <w:spacing w:val="-4"/>
          <w:sz w:val="24"/>
        </w:rPr>
        <w:t>,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suggesting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an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inverse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relationship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between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income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level </w:t>
      </w:r>
      <w:r>
        <w:rPr>
          <w:sz w:val="24"/>
        </w:rPr>
        <w:t>and stunting prevalence.</w:t>
      </w:r>
    </w:p>
    <w:p>
      <w:pPr>
        <w:spacing w:line="292" w:lineRule="auto" w:before="0"/>
        <w:ind w:left="721" w:right="348" w:firstLine="0"/>
        <w:jc w:val="both"/>
        <w:rPr>
          <w:sz w:val="24"/>
        </w:rPr>
      </w:pPr>
      <w:r>
        <w:rPr>
          <w:b/>
          <w:spacing w:val="-6"/>
          <w:sz w:val="24"/>
        </w:rPr>
        <w:t>Underweight and Overweight by Income Classification</w:t>
      </w:r>
      <w:r>
        <w:rPr>
          <w:spacing w:val="-6"/>
          <w:sz w:val="24"/>
        </w:rPr>
        <w:t>: The chart reflects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that </w:t>
      </w:r>
      <w:r>
        <w:rPr>
          <w:b/>
          <w:spacing w:val="-4"/>
          <w:sz w:val="24"/>
        </w:rPr>
        <w:t>both</w:t>
      </w:r>
      <w:r>
        <w:rPr>
          <w:b/>
          <w:spacing w:val="-15"/>
          <w:sz w:val="24"/>
        </w:rPr>
        <w:t> </w:t>
      </w:r>
      <w:r>
        <w:rPr>
          <w:b/>
          <w:spacing w:val="-4"/>
          <w:sz w:val="24"/>
        </w:rPr>
        <w:t>underweight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overweight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issues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are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most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prevalent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in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lower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income </w:t>
      </w:r>
      <w:r>
        <w:rPr>
          <w:b/>
          <w:sz w:val="24"/>
        </w:rPr>
        <w:t>classifications</w:t>
      </w:r>
      <w:r>
        <w:rPr>
          <w:sz w:val="24"/>
        </w:rPr>
        <w:t>,</w:t>
      </w:r>
      <w:r>
        <w:rPr>
          <w:spacing w:val="-16"/>
          <w:sz w:val="24"/>
        </w:rPr>
        <w:t> </w:t>
      </w:r>
      <w:r>
        <w:rPr>
          <w:sz w:val="24"/>
        </w:rPr>
        <w:t>with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visible</w:t>
      </w:r>
      <w:r>
        <w:rPr>
          <w:spacing w:val="-15"/>
          <w:sz w:val="24"/>
        </w:rPr>
        <w:t> </w:t>
      </w:r>
      <w:r>
        <w:rPr>
          <w:sz w:val="24"/>
        </w:rPr>
        <w:t>decline</w:t>
      </w:r>
      <w:r>
        <w:rPr>
          <w:spacing w:val="-20"/>
          <w:sz w:val="24"/>
        </w:rPr>
        <w:t> </w:t>
      </w:r>
      <w:r>
        <w:rPr>
          <w:sz w:val="24"/>
        </w:rPr>
        <w:t>as</w:t>
      </w:r>
      <w:r>
        <w:rPr>
          <w:spacing w:val="-15"/>
          <w:sz w:val="24"/>
        </w:rPr>
        <w:t> </w:t>
      </w:r>
      <w:r>
        <w:rPr>
          <w:sz w:val="24"/>
        </w:rPr>
        <w:t>income</w:t>
      </w:r>
      <w:r>
        <w:rPr>
          <w:spacing w:val="-20"/>
          <w:sz w:val="24"/>
        </w:rPr>
        <w:t> </w:t>
      </w:r>
      <w:r>
        <w:rPr>
          <w:sz w:val="24"/>
        </w:rPr>
        <w:t>classification</w:t>
      </w:r>
      <w:r>
        <w:rPr>
          <w:spacing w:val="-15"/>
          <w:sz w:val="24"/>
        </w:rPr>
        <w:t> </w:t>
      </w:r>
      <w:r>
        <w:rPr>
          <w:sz w:val="24"/>
        </w:rPr>
        <w:t>improves.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"/>
      </w:pPr>
    </w:p>
    <w:p>
      <w:pPr>
        <w:pStyle w:val="Heading1"/>
        <w:spacing w:before="1"/>
      </w:pPr>
      <w:bookmarkStart w:name="Dashboard Design Features Followed:" w:id="3"/>
      <w:bookmarkEnd w:id="3"/>
      <w:r>
        <w:rPr>
          <w:b w:val="0"/>
        </w:rPr>
      </w:r>
      <w:r>
        <w:rPr>
          <w:color w:val="0E4660"/>
        </w:rPr>
        <w:t>Dashboard</w:t>
      </w:r>
      <w:r>
        <w:rPr>
          <w:color w:val="0E4660"/>
          <w:spacing w:val="-24"/>
        </w:rPr>
        <w:t> </w:t>
      </w:r>
      <w:r>
        <w:rPr>
          <w:color w:val="0E4660"/>
        </w:rPr>
        <w:t>Design</w:t>
      </w:r>
      <w:r>
        <w:rPr>
          <w:color w:val="0E4660"/>
          <w:spacing w:val="-27"/>
        </w:rPr>
        <w:t> </w:t>
      </w:r>
      <w:r>
        <w:rPr>
          <w:color w:val="0E4660"/>
        </w:rPr>
        <w:t>Features</w:t>
      </w:r>
      <w:r>
        <w:rPr>
          <w:color w:val="0E4660"/>
          <w:spacing w:val="-25"/>
        </w:rPr>
        <w:t> </w:t>
      </w:r>
      <w:r>
        <w:rPr>
          <w:color w:val="0E4660"/>
          <w:spacing w:val="-2"/>
        </w:rPr>
        <w:t>Followed:</w:t>
      </w:r>
    </w:p>
    <w:p>
      <w:pPr>
        <w:pStyle w:val="BodyText"/>
        <w:spacing w:before="24"/>
        <w:rPr>
          <w:b/>
          <w:sz w:val="28"/>
        </w:rPr>
      </w:pPr>
    </w:p>
    <w:p>
      <w:pPr>
        <w:spacing w:line="285" w:lineRule="auto" w:before="0"/>
        <w:ind w:left="0" w:right="0" w:firstLine="0"/>
        <w:jc w:val="left"/>
        <w:rPr>
          <w:sz w:val="24"/>
        </w:rPr>
      </w:pPr>
      <w:r>
        <w:rPr>
          <w:rFonts w:ascii="Segoe UI Symbol" w:hAnsi="Segoe UI Symbol"/>
          <w:spacing w:val="-4"/>
          <w:sz w:val="24"/>
        </w:rPr>
        <w:t>✔</w:t>
      </w:r>
      <w:r>
        <w:rPr>
          <w:rFonts w:ascii="Segoe UI Symbol" w:hAnsi="Segoe UI Symbol"/>
          <w:spacing w:val="-12"/>
          <w:sz w:val="24"/>
        </w:rPr>
        <w:t> </w:t>
      </w:r>
      <w:r>
        <w:rPr>
          <w:b/>
          <w:spacing w:val="-4"/>
          <w:sz w:val="24"/>
        </w:rPr>
        <w:t>Clear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18"/>
          <w:sz w:val="24"/>
        </w:rPr>
        <w:t> </w:t>
      </w:r>
      <w:r>
        <w:rPr>
          <w:b/>
          <w:spacing w:val="-4"/>
          <w:sz w:val="24"/>
        </w:rPr>
        <w:t>Intuitive</w:t>
      </w:r>
      <w:r>
        <w:rPr>
          <w:b/>
          <w:spacing w:val="-20"/>
          <w:sz w:val="24"/>
        </w:rPr>
        <w:t> </w:t>
      </w:r>
      <w:r>
        <w:rPr>
          <w:b/>
          <w:spacing w:val="-4"/>
          <w:sz w:val="24"/>
        </w:rPr>
        <w:t>Layout</w:t>
      </w:r>
      <w:r>
        <w:rPr>
          <w:spacing w:val="-4"/>
          <w:sz w:val="24"/>
        </w:rPr>
        <w:t>: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Well-structured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placement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KPIs,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graphs,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charts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for </w:t>
      </w:r>
      <w:r>
        <w:rPr>
          <w:sz w:val="24"/>
        </w:rPr>
        <w:t>easy</w:t>
      </w:r>
      <w:r>
        <w:rPr>
          <w:spacing w:val="-12"/>
          <w:sz w:val="24"/>
        </w:rPr>
        <w:t> </w:t>
      </w:r>
      <w:r>
        <w:rPr>
          <w:sz w:val="24"/>
        </w:rPr>
        <w:t>readability.</w:t>
      </w:r>
    </w:p>
    <w:p>
      <w:pPr>
        <w:spacing w:line="285" w:lineRule="auto" w:before="8"/>
        <w:ind w:left="0" w:right="0" w:firstLine="50"/>
        <w:jc w:val="left"/>
        <w:rPr>
          <w:sz w:val="24"/>
        </w:rPr>
      </w:pPr>
      <w:r>
        <w:rPr>
          <w:rFonts w:ascii="Segoe UI Symbol" w:hAnsi="Segoe UI Symbol"/>
          <w:spacing w:val="-4"/>
          <w:sz w:val="24"/>
        </w:rPr>
        <w:t>✔</w:t>
      </w:r>
      <w:r>
        <w:rPr>
          <w:rFonts w:ascii="Segoe UI Symbol" w:hAnsi="Segoe UI Symbol"/>
          <w:spacing w:val="-15"/>
          <w:sz w:val="24"/>
        </w:rPr>
        <w:t> </w:t>
      </w:r>
      <w:r>
        <w:rPr>
          <w:b/>
          <w:spacing w:val="-4"/>
          <w:sz w:val="24"/>
        </w:rPr>
        <w:t>Appropriate</w:t>
      </w:r>
      <w:r>
        <w:rPr>
          <w:b/>
          <w:spacing w:val="-19"/>
          <w:sz w:val="24"/>
        </w:rPr>
        <w:t> </w:t>
      </w:r>
      <w:r>
        <w:rPr>
          <w:b/>
          <w:spacing w:val="-4"/>
          <w:sz w:val="24"/>
        </w:rPr>
        <w:t>Visualizations</w:t>
      </w:r>
      <w:r>
        <w:rPr>
          <w:spacing w:val="-4"/>
          <w:sz w:val="24"/>
        </w:rPr>
        <w:t>: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Bar,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line,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area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charts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appropriately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used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trend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and </w:t>
      </w:r>
      <w:r>
        <w:rPr>
          <w:sz w:val="24"/>
        </w:rPr>
        <w:t>comparative</w:t>
      </w:r>
      <w:r>
        <w:rPr>
          <w:spacing w:val="-18"/>
          <w:sz w:val="24"/>
        </w:rPr>
        <w:t> </w:t>
      </w:r>
      <w:r>
        <w:rPr>
          <w:sz w:val="24"/>
        </w:rPr>
        <w:t>analysis.</w:t>
      </w:r>
    </w:p>
    <w:p>
      <w:pPr>
        <w:pStyle w:val="BodyText"/>
        <w:spacing w:line="285" w:lineRule="auto" w:before="9"/>
        <w:ind w:firstLine="50"/>
      </w:pPr>
      <w:r>
        <w:rPr>
          <w:rFonts w:ascii="Segoe UI Symbol" w:hAnsi="Segoe UI Symbol"/>
          <w:spacing w:val="-2"/>
        </w:rPr>
        <w:t>✔</w:t>
      </w:r>
      <w:r>
        <w:rPr>
          <w:rFonts w:ascii="Segoe UI Symbol" w:hAnsi="Segoe UI Symbol"/>
          <w:spacing w:val="-20"/>
        </w:rPr>
        <w:t> </w:t>
      </w:r>
      <w:r>
        <w:rPr>
          <w:b/>
          <w:spacing w:val="-2"/>
        </w:rPr>
        <w:t>Color</w:t>
      </w:r>
      <w:r>
        <w:rPr>
          <w:b/>
          <w:spacing w:val="-25"/>
        </w:rPr>
        <w:t> </w:t>
      </w:r>
      <w:r>
        <w:rPr>
          <w:b/>
          <w:spacing w:val="-2"/>
        </w:rPr>
        <w:t>and</w:t>
      </w:r>
      <w:r>
        <w:rPr>
          <w:b/>
          <w:spacing w:val="-24"/>
        </w:rPr>
        <w:t> </w:t>
      </w:r>
      <w:r>
        <w:rPr>
          <w:b/>
          <w:spacing w:val="-2"/>
        </w:rPr>
        <w:t>Theming</w:t>
      </w:r>
      <w:r>
        <w:rPr>
          <w:spacing w:val="-2"/>
        </w:rPr>
        <w:t>:</w:t>
      </w:r>
      <w:r>
        <w:rPr>
          <w:spacing w:val="-22"/>
        </w:rPr>
        <w:t> </w:t>
      </w:r>
      <w:r>
        <w:rPr>
          <w:spacing w:val="-2"/>
        </w:rPr>
        <w:t>Consistent</w:t>
      </w:r>
      <w:r>
        <w:rPr>
          <w:spacing w:val="-26"/>
        </w:rPr>
        <w:t> </w:t>
      </w:r>
      <w:r>
        <w:rPr>
          <w:spacing w:val="-2"/>
        </w:rPr>
        <w:t>use</w:t>
      </w:r>
      <w:r>
        <w:rPr>
          <w:spacing w:val="-25"/>
        </w:rPr>
        <w:t> </w:t>
      </w:r>
      <w:r>
        <w:rPr>
          <w:spacing w:val="-2"/>
        </w:rPr>
        <w:t>of</w:t>
      </w:r>
      <w:r>
        <w:rPr>
          <w:spacing w:val="-25"/>
        </w:rPr>
        <w:t> </w:t>
      </w:r>
      <w:r>
        <w:rPr>
          <w:spacing w:val="-2"/>
        </w:rPr>
        <w:t>pink</w:t>
      </w:r>
      <w:r>
        <w:rPr>
          <w:spacing w:val="-25"/>
        </w:rPr>
        <w:t> </w:t>
      </w:r>
      <w:r>
        <w:rPr>
          <w:spacing w:val="-2"/>
        </w:rPr>
        <w:t>and</w:t>
      </w:r>
      <w:r>
        <w:rPr>
          <w:spacing w:val="-23"/>
        </w:rPr>
        <w:t> </w:t>
      </w:r>
      <w:r>
        <w:rPr>
          <w:spacing w:val="-2"/>
        </w:rPr>
        <w:t>orange</w:t>
      </w:r>
      <w:r>
        <w:rPr>
          <w:spacing w:val="-25"/>
        </w:rPr>
        <w:t> </w:t>
      </w:r>
      <w:r>
        <w:rPr>
          <w:spacing w:val="-2"/>
        </w:rPr>
        <w:t>themes</w:t>
      </w:r>
      <w:r>
        <w:rPr>
          <w:spacing w:val="-25"/>
        </w:rPr>
        <w:t> </w:t>
      </w:r>
      <w:r>
        <w:rPr>
          <w:spacing w:val="-2"/>
        </w:rPr>
        <w:t>with</w:t>
      </w:r>
      <w:r>
        <w:rPr>
          <w:spacing w:val="-21"/>
        </w:rPr>
        <w:t> </w:t>
      </w:r>
      <w:r>
        <w:rPr>
          <w:spacing w:val="-2"/>
        </w:rPr>
        <w:t>contrasting </w:t>
      </w:r>
      <w:r>
        <w:rPr/>
        <w:t>blue/orange</w:t>
      </w:r>
      <w:r>
        <w:rPr>
          <w:spacing w:val="-25"/>
        </w:rPr>
        <w:t> </w:t>
      </w:r>
      <w:r>
        <w:rPr/>
        <w:t>visuals</w:t>
      </w:r>
      <w:r>
        <w:rPr>
          <w:spacing w:val="-29"/>
        </w:rPr>
        <w:t> </w:t>
      </w:r>
      <w:r>
        <w:rPr/>
        <w:t>for</w:t>
      </w:r>
      <w:r>
        <w:rPr>
          <w:spacing w:val="-23"/>
        </w:rPr>
        <w:t> </w:t>
      </w:r>
      <w:r>
        <w:rPr/>
        <w:t>clear</w:t>
      </w:r>
      <w:r>
        <w:rPr>
          <w:spacing w:val="-23"/>
        </w:rPr>
        <w:t> </w:t>
      </w:r>
      <w:r>
        <w:rPr/>
        <w:t>data</w:t>
      </w:r>
      <w:r>
        <w:rPr>
          <w:spacing w:val="-21"/>
        </w:rPr>
        <w:t> </w:t>
      </w:r>
      <w:r>
        <w:rPr/>
        <w:t>distinction.</w:t>
      </w:r>
    </w:p>
    <w:p>
      <w:pPr>
        <w:spacing w:line="285" w:lineRule="auto" w:before="9"/>
        <w:ind w:left="0" w:right="5" w:firstLine="50"/>
        <w:jc w:val="left"/>
        <w:rPr>
          <w:sz w:val="24"/>
        </w:rPr>
      </w:pPr>
      <w:r>
        <w:rPr>
          <w:rFonts w:ascii="Segoe UI Symbol" w:hAnsi="Segoe UI Symbol"/>
          <w:spacing w:val="-4"/>
          <w:sz w:val="24"/>
        </w:rPr>
        <w:t>✔</w:t>
      </w:r>
      <w:r>
        <w:rPr>
          <w:rFonts w:ascii="Segoe UI Symbol" w:hAnsi="Segoe UI Symbol"/>
          <w:spacing w:val="-10"/>
          <w:sz w:val="24"/>
        </w:rPr>
        <w:t> </w:t>
      </w:r>
      <w:r>
        <w:rPr>
          <w:b/>
          <w:spacing w:val="-4"/>
          <w:sz w:val="24"/>
        </w:rPr>
        <w:t>Interactive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Filters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s</w:t>
      </w:r>
      <w:r>
        <w:rPr>
          <w:b/>
          <w:spacing w:val="-17"/>
          <w:sz w:val="24"/>
        </w:rPr>
        <w:t> </w:t>
      </w:r>
      <w:r>
        <w:rPr>
          <w:b/>
          <w:spacing w:val="-4"/>
          <w:sz w:val="24"/>
        </w:rPr>
        <w:t>Drill-Down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Capabilities</w:t>
      </w:r>
      <w:r>
        <w:rPr>
          <w:spacing w:val="-4"/>
          <w:sz w:val="24"/>
        </w:rPr>
        <w:t>: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Provision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further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exploration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via </w:t>
      </w:r>
      <w:r>
        <w:rPr>
          <w:sz w:val="24"/>
        </w:rPr>
        <w:t>slicers</w:t>
      </w:r>
      <w:r>
        <w:rPr>
          <w:spacing w:val="-14"/>
          <w:sz w:val="24"/>
        </w:rPr>
        <w:t> </w:t>
      </w:r>
      <w:r>
        <w:rPr>
          <w:sz w:val="24"/>
        </w:rPr>
        <w:t>or</w:t>
      </w:r>
      <w:r>
        <w:rPr>
          <w:spacing w:val="-12"/>
          <w:sz w:val="24"/>
        </w:rPr>
        <w:t> </w:t>
      </w:r>
      <w:r>
        <w:rPr>
          <w:sz w:val="24"/>
        </w:rPr>
        <w:t>filters</w:t>
      </w:r>
      <w:r>
        <w:rPr>
          <w:spacing w:val="-14"/>
          <w:sz w:val="24"/>
        </w:rPr>
        <w:t> </w:t>
      </w:r>
      <w:r>
        <w:rPr>
          <w:sz w:val="24"/>
        </w:rPr>
        <w:t>is</w:t>
      </w:r>
      <w:r>
        <w:rPr>
          <w:spacing w:val="-14"/>
          <w:sz w:val="24"/>
        </w:rPr>
        <w:t> </w:t>
      </w:r>
      <w:r>
        <w:rPr>
          <w:sz w:val="24"/>
        </w:rPr>
        <w:t>assumed</w:t>
      </w:r>
      <w:r>
        <w:rPr>
          <w:spacing w:val="-12"/>
          <w:sz w:val="24"/>
        </w:rPr>
        <w:t> </w:t>
      </w:r>
      <w:r>
        <w:rPr>
          <w:sz w:val="24"/>
        </w:rPr>
        <w:t>based</w:t>
      </w:r>
      <w:r>
        <w:rPr>
          <w:spacing w:val="-12"/>
          <w:sz w:val="24"/>
        </w:rPr>
        <w:t> </w:t>
      </w:r>
      <w:r>
        <w:rPr>
          <w:sz w:val="24"/>
        </w:rPr>
        <w:t>on</w:t>
      </w:r>
      <w:r>
        <w:rPr>
          <w:spacing w:val="-14"/>
          <w:sz w:val="24"/>
        </w:rPr>
        <w:t> </w:t>
      </w:r>
      <w:r>
        <w:rPr>
          <w:sz w:val="24"/>
        </w:rPr>
        <w:t>standard</w:t>
      </w:r>
      <w:r>
        <w:rPr>
          <w:spacing w:val="-12"/>
          <w:sz w:val="24"/>
        </w:rPr>
        <w:t> </w:t>
      </w:r>
      <w:r>
        <w:rPr>
          <w:sz w:val="24"/>
        </w:rPr>
        <w:t>Power</w:t>
      </w:r>
      <w:r>
        <w:rPr>
          <w:spacing w:val="-12"/>
          <w:sz w:val="24"/>
        </w:rPr>
        <w:t> </w:t>
      </w:r>
      <w:r>
        <w:rPr>
          <w:sz w:val="24"/>
        </w:rPr>
        <w:t>BI</w:t>
      </w:r>
      <w:r>
        <w:rPr>
          <w:spacing w:val="-15"/>
          <w:sz w:val="24"/>
        </w:rPr>
        <w:t> </w:t>
      </w:r>
      <w:r>
        <w:rPr>
          <w:sz w:val="24"/>
        </w:rPr>
        <w:t>practices.</w:t>
      </w:r>
    </w:p>
    <w:p>
      <w:pPr>
        <w:pStyle w:val="BodyText"/>
        <w:spacing w:line="280" w:lineRule="auto" w:before="9"/>
        <w:ind w:firstLine="50"/>
      </w:pPr>
      <w:r>
        <w:rPr>
          <w:rFonts w:ascii="Segoe UI Symbol" w:hAnsi="Segoe UI Symbol"/>
          <w:spacing w:val="-2"/>
        </w:rPr>
        <w:t>✔</w:t>
      </w:r>
      <w:r>
        <w:rPr>
          <w:rFonts w:ascii="Segoe UI Symbol" w:hAnsi="Segoe UI Symbol"/>
          <w:spacing w:val="-11"/>
        </w:rPr>
        <w:t> </w:t>
      </w:r>
      <w:r>
        <w:rPr>
          <w:b/>
          <w:spacing w:val="-2"/>
        </w:rPr>
        <w:t>Custom</w:t>
      </w:r>
      <w:r>
        <w:rPr>
          <w:b/>
          <w:spacing w:val="-18"/>
        </w:rPr>
        <w:t> </w:t>
      </w:r>
      <w:r>
        <w:rPr>
          <w:b/>
          <w:spacing w:val="-2"/>
        </w:rPr>
        <w:t>Visuals</w:t>
      </w:r>
      <w:r>
        <w:rPr>
          <w:spacing w:val="-2"/>
        </w:rPr>
        <w:t>:</w:t>
      </w:r>
      <w:r>
        <w:rPr>
          <w:spacing w:val="-15"/>
        </w:rPr>
        <w:t> </w:t>
      </w:r>
      <w:r>
        <w:rPr>
          <w:spacing w:val="-2"/>
        </w:rPr>
        <w:t>Combination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stacked</w:t>
      </w:r>
      <w:r>
        <w:rPr>
          <w:spacing w:val="-16"/>
        </w:rPr>
        <w:t> </w:t>
      </w:r>
      <w:r>
        <w:rPr>
          <w:spacing w:val="-2"/>
        </w:rPr>
        <w:t>bar</w:t>
      </w:r>
      <w:r>
        <w:rPr>
          <w:spacing w:val="-22"/>
        </w:rPr>
        <w:t> </w:t>
      </w:r>
      <w:r>
        <w:rPr>
          <w:spacing w:val="-2"/>
        </w:rPr>
        <w:t>charts</w:t>
      </w:r>
      <w:r>
        <w:rPr>
          <w:spacing w:val="-23"/>
        </w:rPr>
        <w:t> </w:t>
      </w:r>
      <w:r>
        <w:rPr>
          <w:spacing w:val="-2"/>
        </w:rPr>
        <w:t>and</w:t>
      </w:r>
      <w:r>
        <w:rPr>
          <w:spacing w:val="-22"/>
        </w:rPr>
        <w:t> </w:t>
      </w:r>
      <w:r>
        <w:rPr>
          <w:spacing w:val="-2"/>
        </w:rPr>
        <w:t>line</w:t>
      </w:r>
      <w:r>
        <w:rPr>
          <w:spacing w:val="-18"/>
        </w:rPr>
        <w:t> </w:t>
      </w:r>
      <w:r>
        <w:rPr>
          <w:spacing w:val="-2"/>
        </w:rPr>
        <w:t>visuals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represent multidimensional</w:t>
      </w:r>
      <w:r>
        <w:rPr>
          <w:spacing w:val="-18"/>
        </w:rPr>
        <w:t> </w:t>
      </w:r>
      <w:r>
        <w:rPr>
          <w:spacing w:val="-2"/>
        </w:rPr>
        <w:t>data</w:t>
      </w:r>
      <w:r>
        <w:rPr>
          <w:spacing w:val="-18"/>
        </w:rPr>
        <w:t> </w:t>
      </w:r>
      <w:r>
        <w:rPr>
          <w:spacing w:val="-2"/>
        </w:rPr>
        <w:t>(stunting,</w:t>
      </w:r>
      <w:r>
        <w:rPr>
          <w:spacing w:val="-24"/>
        </w:rPr>
        <w:t> </w:t>
      </w:r>
      <w:r>
        <w:rPr>
          <w:spacing w:val="-2"/>
        </w:rPr>
        <w:t>overweight,</w:t>
      </w:r>
      <w:r>
        <w:rPr>
          <w:spacing w:val="-23"/>
        </w:rPr>
        <w:t> </w:t>
      </w:r>
      <w:r>
        <w:rPr>
          <w:spacing w:val="-2"/>
        </w:rPr>
        <w:t>income</w:t>
      </w:r>
      <w:r>
        <w:rPr>
          <w:spacing w:val="-21"/>
        </w:rPr>
        <w:t> </w:t>
      </w:r>
      <w:r>
        <w:rPr>
          <w:spacing w:val="-2"/>
        </w:rPr>
        <w:t>classification).</w:t>
      </w:r>
    </w:p>
    <w:sectPr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3822" w:hanging="3381"/>
    </w:pPr>
    <w:rPr>
      <w:rFonts w:ascii="Trebuchet MS" w:hAnsi="Trebuchet MS" w:eastAsia="Trebuchet MS" w:cs="Trebuchet MS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1"/>
      <w:ind w:left="9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yamanageethabhagyasri19@gmail.com</dc:creator>
  <dcterms:created xsi:type="dcterms:W3CDTF">2025-06-19T17:24:42Z</dcterms:created>
  <dcterms:modified xsi:type="dcterms:W3CDTF">2025-06-19T17:24:42Z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2025-06-19T00:00:00Z</vt:filetime>
  </property>
</Properties>
</file>