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4C34E1AB" w:rsidR="004360B1" w:rsidRDefault="007D6030">
            <w:r>
              <w:t>24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26D8AA68" w:rsidR="004360B1" w:rsidRDefault="007D6030">
            <w:r w:rsidRPr="007D6030">
              <w:t>LTVIP2025TMID35409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5DD026B4" w:rsidR="004360B1" w:rsidRPr="00233DD0" w:rsidRDefault="00233DD0">
            <w:pPr>
              <w:rPr>
                <w:lang w:val="en-IN"/>
              </w:rPr>
            </w:pPr>
            <w:r w:rsidRPr="00233DD0">
              <w:rPr>
                <w:lang w:val="en-IN"/>
              </w:rPr>
              <w:t>HematoVision: Advanced Blood Cell Classification Using Transfer Learning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5EA18F1B" w14:textId="77777777" w:rsidR="00882974" w:rsidRPr="00882974" w:rsidRDefault="00882974" w:rsidP="00882974">
      <w:pPr>
        <w:rPr>
          <w:lang w:val="en-IN"/>
        </w:rPr>
      </w:pPr>
      <w:r w:rsidRPr="00882974">
        <w:rPr>
          <w:lang w:val="en-IN"/>
        </w:rPr>
        <w:t>HematoVision addresses a critical gap in the healthcare diagnostics domain—</w:t>
      </w:r>
      <w:r w:rsidRPr="00882974">
        <w:rPr>
          <w:b/>
          <w:bCs/>
          <w:lang w:val="en-IN"/>
        </w:rPr>
        <w:t>the need for fast, accurate, and accessible blood cell classification</w:t>
      </w:r>
      <w:r w:rsidRPr="00882974">
        <w:rPr>
          <w:lang w:val="en-IN"/>
        </w:rPr>
        <w:t xml:space="preserve">. In many clinics and diagnostic labs, especially in resource-constrained settings, </w:t>
      </w:r>
      <w:r w:rsidRPr="00882974">
        <w:rPr>
          <w:b/>
          <w:bCs/>
          <w:lang w:val="en-IN"/>
        </w:rPr>
        <w:t>manual microscopy</w:t>
      </w:r>
      <w:r w:rsidRPr="00882974">
        <w:rPr>
          <w:lang w:val="en-IN"/>
        </w:rPr>
        <w:t xml:space="preserve"> remains the norm. This approach is </w:t>
      </w:r>
      <w:r w:rsidRPr="00882974">
        <w:rPr>
          <w:b/>
          <w:bCs/>
          <w:lang w:val="en-IN"/>
        </w:rPr>
        <w:t>time-consuming</w:t>
      </w:r>
      <w:r w:rsidRPr="00882974">
        <w:rPr>
          <w:lang w:val="en-IN"/>
        </w:rPr>
        <w:t xml:space="preserve">, depends heavily on expert availability, and is susceptible to </w:t>
      </w:r>
      <w:r w:rsidRPr="00882974">
        <w:rPr>
          <w:b/>
          <w:bCs/>
          <w:lang w:val="en-IN"/>
        </w:rPr>
        <w:t>human error</w:t>
      </w:r>
      <w:r w:rsidRPr="00882974">
        <w:rPr>
          <w:lang w:val="en-IN"/>
        </w:rPr>
        <w:t>, which can delay diagnosis and affect treatment outcomes.</w:t>
      </w:r>
    </w:p>
    <w:p w14:paraId="76FBEB9A" w14:textId="77777777" w:rsidR="00882974" w:rsidRPr="00882974" w:rsidRDefault="00882974" w:rsidP="00882974">
      <w:pPr>
        <w:rPr>
          <w:lang w:val="en-IN"/>
        </w:rPr>
      </w:pPr>
      <w:r w:rsidRPr="00882974">
        <w:rPr>
          <w:lang w:val="en-IN"/>
        </w:rPr>
        <w:t xml:space="preserve">By applying </w:t>
      </w:r>
      <w:r w:rsidRPr="00882974">
        <w:rPr>
          <w:b/>
          <w:bCs/>
          <w:lang w:val="en-IN"/>
        </w:rPr>
        <w:t>transfer learning with MobileNetV2</w:t>
      </w:r>
      <w:r w:rsidRPr="00882974">
        <w:rPr>
          <w:lang w:val="en-IN"/>
        </w:rPr>
        <w:t xml:space="preserve">, HematoVision automates the classification of blood cells (eosinophils, lymphocytes, monocytes, and neutrophils) with high precision. This AI-powered solution </w:t>
      </w:r>
      <w:r w:rsidRPr="00882974">
        <w:rPr>
          <w:b/>
          <w:bCs/>
          <w:lang w:val="en-IN"/>
        </w:rPr>
        <w:t>reduces diagnostic time</w:t>
      </w:r>
      <w:r w:rsidRPr="00882974">
        <w:rPr>
          <w:lang w:val="en-IN"/>
        </w:rPr>
        <w:t>, supports overburdened pathologists, and enhances diagnostic accuracy—</w:t>
      </w:r>
      <w:r w:rsidRPr="00882974">
        <w:rPr>
          <w:b/>
          <w:bCs/>
          <w:lang w:val="en-IN"/>
        </w:rPr>
        <w:t>even in clinics with minimal infrastructure</w:t>
      </w:r>
      <w:r w:rsidRPr="00882974">
        <w:rPr>
          <w:lang w:val="en-IN"/>
        </w:rPr>
        <w:t>.</w:t>
      </w:r>
    </w:p>
    <w:p w14:paraId="398A6942" w14:textId="77777777" w:rsidR="00882974" w:rsidRPr="00882974" w:rsidRDefault="00882974" w:rsidP="00882974">
      <w:pPr>
        <w:rPr>
          <w:lang w:val="en-IN"/>
        </w:rPr>
      </w:pPr>
      <w:r w:rsidRPr="00882974">
        <w:rPr>
          <w:lang w:val="en-IN"/>
        </w:rPr>
        <w:t xml:space="preserve">Customers such as </w:t>
      </w:r>
      <w:r w:rsidRPr="00882974">
        <w:rPr>
          <w:b/>
          <w:bCs/>
          <w:lang w:val="en-IN"/>
        </w:rPr>
        <w:t>medical labs, hospitals, and research institutions</w:t>
      </w:r>
      <w:r w:rsidRPr="00882974">
        <w:rPr>
          <w:lang w:val="en-IN"/>
        </w:rPr>
        <w:t xml:space="preserve"> benefit by streamlining their workflows, reducing error margins, and enabling early detection of blood-related disorders. The solution fits seamlessly into existing lab setups and is deployable via a </w:t>
      </w:r>
      <w:r w:rsidRPr="00882974">
        <w:rPr>
          <w:b/>
          <w:bCs/>
          <w:lang w:val="en-IN"/>
        </w:rPr>
        <w:t>Flask-based web application</w:t>
      </w:r>
      <w:r w:rsidRPr="00882974">
        <w:rPr>
          <w:lang w:val="en-IN"/>
        </w:rPr>
        <w:t xml:space="preserve">, making it </w:t>
      </w:r>
      <w:r w:rsidRPr="00882974">
        <w:rPr>
          <w:b/>
          <w:bCs/>
          <w:lang w:val="en-IN"/>
        </w:rPr>
        <w:t>cost-effective and user-friendly</w:t>
      </w:r>
      <w:r w:rsidRPr="00882974">
        <w:rPr>
          <w:lang w:val="en-IN"/>
        </w:rPr>
        <w:t>.</w:t>
      </w:r>
    </w:p>
    <w:p w14:paraId="0DF4DBA0" w14:textId="77777777" w:rsidR="00882974" w:rsidRPr="00882974" w:rsidRDefault="00882974" w:rsidP="00882974">
      <w:pPr>
        <w:rPr>
          <w:lang w:val="en-IN"/>
        </w:rPr>
      </w:pPr>
      <w:r w:rsidRPr="00882974">
        <w:rPr>
          <w:lang w:val="en-IN"/>
        </w:rPr>
        <w:t xml:space="preserve">Ultimately, HematoVision delivers a </w:t>
      </w:r>
      <w:r w:rsidRPr="00882974">
        <w:rPr>
          <w:b/>
          <w:bCs/>
          <w:lang w:val="en-IN"/>
        </w:rPr>
        <w:t>problem-solution fit</w:t>
      </w:r>
      <w:r w:rsidRPr="00882974">
        <w:rPr>
          <w:lang w:val="en-IN"/>
        </w:rPr>
        <w:t xml:space="preserve"> by aligning clinical needs with an intelligent, scalable, and accessible technology—enhancing healthcare delivery where it's needed most.</w:t>
      </w:r>
    </w:p>
    <w:p w14:paraId="186ADF36" w14:textId="77777777" w:rsidR="004360B1" w:rsidRDefault="00000000">
      <w:pPr>
        <w:rPr>
          <w:b/>
        </w:rPr>
      </w:pPr>
      <w:r>
        <w:rPr>
          <w:b/>
        </w:rPr>
        <w:t>Template:</w:t>
      </w:r>
    </w:p>
    <w:p w14:paraId="1C9683D8" w14:textId="7A247B5C" w:rsidR="004360B1" w:rsidRDefault="00882974" w:rsidP="00882974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49D7A1F" wp14:editId="22802492">
            <wp:extent cx="5731510" cy="3489960"/>
            <wp:effectExtent l="0" t="0" r="2540" b="0"/>
            <wp:docPr id="5128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443" name="Picture 512824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65C31D1-78F0-48B7-A045-31B699E5158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92AD0A1-EEE2-4570-8A3A-E9AE9CC7153C}"/>
    <w:embedBold r:id="rId3" w:fontKey="{03E7C2E9-296F-4BB4-8332-AEE15B5EB0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66C750D-3276-448D-98DE-ABD997D25C5A}"/>
    <w:embedItalic r:id="rId5" w:fontKey="{7A6DEC7C-E67D-48EA-A464-A492BC09A06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4C096085-46DB-4AAB-A9AD-CE53C1927D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87F9E"/>
    <w:rsid w:val="00233DD0"/>
    <w:rsid w:val="004360B1"/>
    <w:rsid w:val="005902FC"/>
    <w:rsid w:val="005E5BC3"/>
    <w:rsid w:val="007D6030"/>
    <w:rsid w:val="00882974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64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Geethanjali G</cp:lastModifiedBy>
  <cp:revision>4</cp:revision>
  <cp:lastPrinted>2025-02-15T04:32:00Z</cp:lastPrinted>
  <dcterms:created xsi:type="dcterms:W3CDTF">2025-06-27T12:22:00Z</dcterms:created>
  <dcterms:modified xsi:type="dcterms:W3CDTF">2025-06-27T12:24:00Z</dcterms:modified>
</cp:coreProperties>
</file>