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07A9FA4B" w:rsidR="00604E29" w:rsidRDefault="00791E9D">
            <w:r>
              <w:t>24 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 w:rsidTr="00791E9D">
        <w:trPr>
          <w:trHeight w:val="349"/>
        </w:trPr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7571255" w:rsidR="00604E29" w:rsidRDefault="00791E9D">
            <w:r w:rsidRPr="005A2061">
              <w:t>LTVIP2025TMID35409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FBED38A" w:rsidR="00604E29" w:rsidRDefault="00791E9D">
            <w:proofErr w:type="spellStart"/>
            <w:r w:rsidRPr="005A2061">
              <w:t>HematoVision</w:t>
            </w:r>
            <w:proofErr w:type="spellEnd"/>
            <w:r w:rsidRPr="005A2061">
              <w:t>: Advanced Blood Cell Classification Using Transfer Learning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DF26EA8" w:rsidR="00604E29" w:rsidRDefault="00B455D8">
            <w:r w:rsidRPr="00B455D8">
              <w:t>Manual blood cell classification is time-consuming, error-prone, and requires skilled pathologists, which limits early diagnosis and affects treatment, especially in low-resource clinical settings.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0047370B" w:rsidR="00604E29" w:rsidRDefault="00B455D8">
            <w:proofErr w:type="spellStart"/>
            <w:r w:rsidRPr="00B455D8">
              <w:t>HematoVision</w:t>
            </w:r>
            <w:proofErr w:type="spellEnd"/>
            <w:r w:rsidRPr="00B455D8">
              <w:t xml:space="preserve"> uses deep learning and transfer learning (MobileNetV2) to build an AI-powered blood cell classifier deployed through a web interface, enabling fast, accurate, and automated blood cell identification.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24249B9" w:rsidR="00604E29" w:rsidRDefault="00B455D8">
            <w:r w:rsidRPr="00B455D8">
              <w:t>The project leverages transfer learning to reduce training time and improve accuracy, while also offering a lightweight, web-deployable model suitable for clinics with limited computational resource</w:t>
            </w:r>
            <w:r>
              <w:t>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FAD276A" w:rsidR="00604E29" w:rsidRDefault="00B455D8">
            <w:proofErr w:type="spellStart"/>
            <w:r w:rsidRPr="00B455D8">
              <w:t>HematoVision</w:t>
            </w:r>
            <w:proofErr w:type="spellEnd"/>
            <w:r w:rsidRPr="00B455D8">
              <w:t xml:space="preserve"> improves diagnostic speed and accuracy, supports overburdened healthcare staff, reduces dependency on human expertise, and makes modern diagnostic tools accessible even in remote or underserved regions.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203C8E54" w:rsidR="00604E29" w:rsidRDefault="00B455D8">
            <w:r w:rsidRPr="00B455D8">
              <w:t>The solution can be monetized through B2B licensing to hospitals and diagnostic labs, subscription-based SaaS for healthcare networks, or integration into existing lab management systems with a pay-per-use model.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86452D6" w:rsidR="00604E29" w:rsidRDefault="00B455D8">
            <w:r w:rsidRPr="00B455D8">
              <w:t>The system is scalable to include additional types of cells or diseases, deployable across multiple institutions via cloud or local servers, and customizable for different medical imaging datasets or formats.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87F9E"/>
    <w:rsid w:val="00350B1D"/>
    <w:rsid w:val="00604E29"/>
    <w:rsid w:val="00791E9D"/>
    <w:rsid w:val="00B455D8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Geethanjali G</cp:lastModifiedBy>
  <cp:revision>3</cp:revision>
  <dcterms:created xsi:type="dcterms:W3CDTF">2025-06-27T12:30:00Z</dcterms:created>
  <dcterms:modified xsi:type="dcterms:W3CDTF">2025-06-27T12:32:00Z</dcterms:modified>
</cp:coreProperties>
</file>