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ABC12" w14:textId="77777777" w:rsidR="00DC3D58" w:rsidRDefault="00000000">
      <w:pPr>
        <w:pStyle w:val="Heading1"/>
      </w:pPr>
      <w:bookmarkStart w:id="0" w:name="Xea2800b788de9fa04e54cab560bc8ea87f8bd24"/>
      <w:r>
        <w:t>Ecological Condition Benchmarking Methodology (HCAS v3.1)</w:t>
      </w:r>
    </w:p>
    <w:p w14:paraId="2D5DDC47" w14:textId="77777777" w:rsidR="00DC3D58" w:rsidRDefault="00000000">
      <w:pPr>
        <w:pStyle w:val="BlockText"/>
      </w:pPr>
      <w:r>
        <w:rPr>
          <w:b/>
          <w:bCs/>
        </w:rPr>
        <w:t>Script:</w:t>
      </w:r>
      <w:r>
        <w:t xml:space="preserve"> </w:t>
      </w:r>
      <w:r>
        <w:rPr>
          <w:rStyle w:val="VerbatimChar"/>
        </w:rPr>
        <w:t>scripts/select_benchmark_sites.py</w:t>
      </w:r>
      <w:r>
        <w:t xml:space="preserve"> </w:t>
      </w:r>
      <w:r>
        <w:rPr>
          <w:b/>
          <w:bCs/>
        </w:rPr>
        <w:t>Version:</w:t>
      </w:r>
      <w:r>
        <w:t xml:space="preserve"> v2 — February 2026 </w:t>
      </w:r>
      <w:r>
        <w:rPr>
          <w:b/>
          <w:bCs/>
        </w:rPr>
        <w:t>Purpose:</w:t>
      </w:r>
      <w:r>
        <w:t xml:space="preserve"> This document describes every step, hyperparameter, and design rationale implemented in the benchmarking script, intended for peer review.</w:t>
      </w:r>
    </w:p>
    <w:p w14:paraId="04D84C30" w14:textId="77777777" w:rsidR="00DC3D58" w:rsidRDefault="00000000">
      <w:r>
        <w:pict w14:anchorId="676F091A">
          <v:rect id="_x0000_i1025" style="width:0;height:1.5pt" o:hralign="center" o:hrstd="t" o:hr="t"/>
        </w:pict>
      </w:r>
    </w:p>
    <w:p w14:paraId="78EF9058" w14:textId="77777777" w:rsidR="00DC3D58" w:rsidRDefault="00000000">
      <w:pPr>
        <w:pStyle w:val="Heading2"/>
      </w:pPr>
      <w:bookmarkStart w:id="1" w:name="overview"/>
      <w:r>
        <w:t>Overview</w:t>
      </w:r>
    </w:p>
    <w:p w14:paraId="1981880B" w14:textId="77777777" w:rsidR="00DC3D58" w:rsidRDefault="00000000">
      <w:pPr>
        <w:pStyle w:val="FirstParagraph"/>
      </w:pPr>
      <w:r>
        <w:t xml:space="preserve">The script calculates a calibrated </w:t>
      </w:r>
      <w:r>
        <w:rPr>
          <w:b/>
          <w:bCs/>
        </w:rPr>
        <w:t>Habitat Condition Assessment System (HCAS)</w:t>
      </w:r>
      <w:r>
        <w:t xml:space="preserve"> score for each “transformed” (test) site. It does this by comparing each test site against a set of ecologically similar “natural” (reference) sites, quantifying how far the test site’s current spectral condition departs from the expected natural baseline.</w:t>
      </w:r>
    </w:p>
    <w:p w14:paraId="194CBC14" w14:textId="77777777" w:rsidR="00DC3D58" w:rsidRDefault="00000000">
      <w:pPr>
        <w:pStyle w:val="Heading3"/>
      </w:pPr>
      <w:bookmarkStart w:id="2" w:name="input"/>
      <w:r>
        <w:t>Input</w:t>
      </w:r>
    </w:p>
    <w:p w14:paraId="2FD819F1" w14:textId="77777777" w:rsidR="00DC3D58" w:rsidRDefault="00000000">
      <w:pPr>
        <w:pStyle w:val="Compact"/>
        <w:numPr>
          <w:ilvl w:val="0"/>
          <w:numId w:val="2"/>
        </w:numPr>
      </w:pPr>
      <w:r>
        <w:rPr>
          <w:rStyle w:val="VerbatimChar"/>
          <w:b/>
          <w:bCs/>
        </w:rPr>
        <w:t>reference_departure_with_intervals.csv</w:t>
      </w:r>
      <w:r>
        <w:t xml:space="preserve"> — one row per site, containing:</w:t>
      </w:r>
    </w:p>
    <w:p w14:paraId="0117FC5E" w14:textId="22B3C6F8" w:rsidR="00DC3D58" w:rsidRDefault="00000000" w:rsidP="00E723CC">
      <w:pPr>
        <w:pStyle w:val="Compact"/>
        <w:numPr>
          <w:ilvl w:val="1"/>
          <w:numId w:val="3"/>
        </w:numPr>
      </w:pPr>
      <w:r>
        <w:rPr>
          <w:rStyle w:val="VerbatimChar"/>
        </w:rPr>
        <w:t>natural</w:t>
      </w:r>
      <w:r>
        <w:t xml:space="preserve"> flag (1 = reference, 0 = transformed)</w:t>
      </w:r>
    </w:p>
    <w:p w14:paraId="10395EEB" w14:textId="77777777" w:rsidR="00DC3D58" w:rsidRDefault="00000000">
      <w:pPr>
        <w:pStyle w:val="Compact"/>
        <w:numPr>
          <w:ilvl w:val="1"/>
          <w:numId w:val="3"/>
        </w:numPr>
      </w:pPr>
      <w:r>
        <w:t xml:space="preserve">Predicted reference values from expected reference condition model: </w:t>
      </w:r>
      <w:r>
        <w:rPr>
          <w:rStyle w:val="VerbatimChar"/>
        </w:rPr>
        <w:t>NBR_ref</w:t>
      </w:r>
      <w:r>
        <w:t xml:space="preserve">, </w:t>
      </w:r>
      <w:r>
        <w:rPr>
          <w:rStyle w:val="VerbatimChar"/>
        </w:rPr>
        <w:t>NDMI_ref</w:t>
      </w:r>
      <w:r>
        <w:t xml:space="preserve">, </w:t>
      </w:r>
      <w:r>
        <w:rPr>
          <w:rStyle w:val="VerbatimChar"/>
        </w:rPr>
        <w:t>NDWI_ref</w:t>
      </w:r>
    </w:p>
    <w:p w14:paraId="03FB1CC4" w14:textId="77777777" w:rsidR="00DC3D58" w:rsidRDefault="00000000">
      <w:pPr>
        <w:pStyle w:val="Compact"/>
        <w:numPr>
          <w:ilvl w:val="1"/>
          <w:numId w:val="3"/>
        </w:numPr>
      </w:pPr>
      <w:r>
        <w:t xml:space="preserve">Observed departure values (expected-observed): </w:t>
      </w:r>
      <w:r>
        <w:rPr>
          <w:rStyle w:val="VerbatimChar"/>
        </w:rPr>
        <w:t>NBR_diff</w:t>
      </w:r>
      <w:r>
        <w:t xml:space="preserve">, </w:t>
      </w:r>
      <w:r>
        <w:rPr>
          <w:rStyle w:val="VerbatimChar"/>
        </w:rPr>
        <w:t>NDMI_diff</w:t>
      </w:r>
      <w:r>
        <w:t xml:space="preserve">, </w:t>
      </w:r>
      <w:r>
        <w:rPr>
          <w:rStyle w:val="VerbatimChar"/>
        </w:rPr>
        <w:t>NDWI_diff</w:t>
      </w:r>
    </w:p>
    <w:p w14:paraId="538B3D71" w14:textId="77777777" w:rsidR="00DC3D58" w:rsidRDefault="00000000">
      <w:pPr>
        <w:pStyle w:val="Heading3"/>
      </w:pPr>
      <w:bookmarkStart w:id="3" w:name="output"/>
      <w:bookmarkEnd w:id="2"/>
      <w:r>
        <w:t>Output</w:t>
      </w:r>
    </w:p>
    <w:p w14:paraId="1FC0FD05" w14:textId="77777777" w:rsidR="00DC3D58" w:rsidRDefault="00000000">
      <w:pPr>
        <w:pStyle w:val="Compact"/>
        <w:numPr>
          <w:ilvl w:val="0"/>
          <w:numId w:val="4"/>
        </w:numPr>
      </w:pPr>
      <w:r>
        <w:rPr>
          <w:rStyle w:val="VerbatimChar"/>
          <w:b/>
          <w:bCs/>
        </w:rPr>
        <w:t>benchmarked_condition.csv</w:t>
      </w:r>
      <w:r>
        <w:t xml:space="preserve"> — all transformed-site columns plus </w:t>
      </w:r>
      <w:r>
        <w:rPr>
          <w:rStyle w:val="VerbatimChar"/>
        </w:rPr>
        <w:t>comp_dep</w:t>
      </w:r>
      <w:r>
        <w:t xml:space="preserve"> and </w:t>
      </w:r>
      <w:r>
        <w:rPr>
          <w:rStyle w:val="VerbatimChar"/>
        </w:rPr>
        <w:t>HCAS_score</w:t>
      </w:r>
    </w:p>
    <w:p w14:paraId="49B76642" w14:textId="193D6565" w:rsidR="00DC3D58" w:rsidRDefault="00000000">
      <w:pPr>
        <w:pStyle w:val="Compact"/>
        <w:numPr>
          <w:ilvl w:val="0"/>
          <w:numId w:val="4"/>
        </w:numPr>
      </w:pPr>
      <w:r>
        <w:rPr>
          <w:rStyle w:val="VerbatimChar"/>
          <w:b/>
          <w:bCs/>
        </w:rPr>
        <w:t>transformed_hcas.shp</w:t>
      </w:r>
      <w:r>
        <w:t xml:space="preserve"> — point shapefile (EPSG:4326) with </w:t>
      </w:r>
      <w:r>
        <w:rPr>
          <w:rStyle w:val="VerbatimChar"/>
        </w:rPr>
        <w:t>id</w:t>
      </w:r>
      <w:r>
        <w:t xml:space="preserve">, </w:t>
      </w:r>
      <w:r w:rsidR="00E723CC">
        <w:t xml:space="preserve">(composite departure) </w:t>
      </w:r>
      <w:proofErr w:type="spellStart"/>
      <w:r>
        <w:rPr>
          <w:rStyle w:val="VerbatimChar"/>
        </w:rPr>
        <w:t>comp_dep</w:t>
      </w:r>
      <w:proofErr w:type="spellEnd"/>
      <w:r w:rsidR="00E723CC">
        <w:rPr>
          <w:rStyle w:val="VerbatimChar"/>
        </w:rPr>
        <w:t>, and</w:t>
      </w:r>
      <w:r>
        <w:t xml:space="preserve"> </w:t>
      </w:r>
      <w:proofErr w:type="spellStart"/>
      <w:r>
        <w:rPr>
          <w:rStyle w:val="VerbatimChar"/>
        </w:rPr>
        <w:t>HCAS_score</w:t>
      </w:r>
      <w:proofErr w:type="spellEnd"/>
    </w:p>
    <w:p w14:paraId="1BDAC9B8" w14:textId="77777777" w:rsidR="00DC3D58" w:rsidRDefault="00000000">
      <w:r>
        <w:pict w14:anchorId="29BD1E96">
          <v:rect id="_x0000_i1026" style="width:0;height:1.5pt" o:hralign="center" o:hrstd="t" o:hr="t"/>
        </w:pict>
      </w:r>
    </w:p>
    <w:p w14:paraId="33796638" w14:textId="77777777" w:rsidR="00DC3D58" w:rsidRDefault="00000000">
      <w:pPr>
        <w:pStyle w:val="Heading2"/>
      </w:pPr>
      <w:bookmarkStart w:id="4" w:name="feature-sets-step-1"/>
      <w:bookmarkEnd w:id="1"/>
      <w:bookmarkEnd w:id="3"/>
      <w:r>
        <w:t>Feature Sets (Step 1)</w:t>
      </w:r>
    </w:p>
    <w:p w14:paraId="53534C08" w14:textId="77777777" w:rsidR="00DC3D58" w:rsidRDefault="00000000">
      <w:pPr>
        <w:pStyle w:val="FirstParagraph"/>
      </w:pPr>
      <w:r>
        <w:t xml:space="preserve">Two distinct feature sets are defined, each with its own </w:t>
      </w:r>
      <w:r>
        <w:rPr>
          <w:rStyle w:val="VerbatimChar"/>
        </w:rPr>
        <w:t>StandardScaler</w:t>
      </w:r>
      <w:r>
        <w:t>:</w:t>
      </w:r>
    </w:p>
    <w:tbl>
      <w:tblPr>
        <w:tblStyle w:val="Table"/>
        <w:tblW w:w="5000" w:type="pct"/>
        <w:tblLayout w:type="fixed"/>
        <w:tblLook w:val="0020" w:firstRow="1" w:lastRow="0" w:firstColumn="0" w:lastColumn="0" w:noHBand="0" w:noVBand="0"/>
      </w:tblPr>
      <w:tblGrid>
        <w:gridCol w:w="2394"/>
        <w:gridCol w:w="2394"/>
        <w:gridCol w:w="2394"/>
        <w:gridCol w:w="2394"/>
      </w:tblGrid>
      <w:tr w:rsidR="00DC3D58" w14:paraId="53917AB4" w14:textId="77777777" w:rsidTr="00DC3D5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D98B901" w14:textId="77777777" w:rsidR="00DC3D58" w:rsidRDefault="00000000">
            <w:pPr>
              <w:pStyle w:val="Compact"/>
            </w:pPr>
            <w:r>
              <w:t>Purpose</w:t>
            </w:r>
          </w:p>
        </w:tc>
        <w:tc>
          <w:tcPr>
            <w:tcW w:w="1980" w:type="dxa"/>
          </w:tcPr>
          <w:p w14:paraId="26FE3CFF" w14:textId="77777777" w:rsidR="00DC3D58" w:rsidRDefault="00000000">
            <w:pPr>
              <w:pStyle w:val="Compact"/>
            </w:pPr>
            <w:r>
              <w:t>Columns</w:t>
            </w:r>
          </w:p>
        </w:tc>
        <w:tc>
          <w:tcPr>
            <w:tcW w:w="1980" w:type="dxa"/>
          </w:tcPr>
          <w:p w14:paraId="0276D01E" w14:textId="77777777" w:rsidR="00DC3D58" w:rsidRDefault="00000000">
            <w:pPr>
              <w:pStyle w:val="Compact"/>
            </w:pPr>
            <w:r>
              <w:t>Scaler</w:t>
            </w:r>
          </w:p>
        </w:tc>
        <w:tc>
          <w:tcPr>
            <w:tcW w:w="1980" w:type="dxa"/>
          </w:tcPr>
          <w:p w14:paraId="231ABB55" w14:textId="77777777" w:rsidR="00DC3D58" w:rsidRDefault="00000000">
            <w:pPr>
              <w:pStyle w:val="Compact"/>
            </w:pPr>
            <w:r>
              <w:t>Used in</w:t>
            </w:r>
          </w:p>
        </w:tc>
      </w:tr>
      <w:tr w:rsidR="00DC3D58" w14:paraId="1481BB63" w14:textId="77777777">
        <w:tc>
          <w:tcPr>
            <w:tcW w:w="1980" w:type="dxa"/>
          </w:tcPr>
          <w:p w14:paraId="0F1D3F88" w14:textId="77777777" w:rsidR="00DC3D58" w:rsidRDefault="00000000">
            <w:pPr>
              <w:pStyle w:val="Compact"/>
            </w:pPr>
            <w:r>
              <w:rPr>
                <w:b/>
                <w:bCs/>
              </w:rPr>
              <w:t>Benchmark selection</w:t>
            </w:r>
            <w:r>
              <w:t xml:space="preserve"> (environmental similarity)</w:t>
            </w:r>
          </w:p>
        </w:tc>
        <w:tc>
          <w:tcPr>
            <w:tcW w:w="1980" w:type="dxa"/>
          </w:tcPr>
          <w:p w14:paraId="701B0CB6" w14:textId="77777777" w:rsidR="00DC3D58" w:rsidRDefault="00000000">
            <w:pPr>
              <w:pStyle w:val="Compact"/>
            </w:pPr>
            <w:r>
              <w:rPr>
                <w:rStyle w:val="VerbatimChar"/>
              </w:rPr>
              <w:t>NBR_ref</w:t>
            </w:r>
            <w:r>
              <w:t xml:space="preserve">, </w:t>
            </w:r>
            <w:r>
              <w:rPr>
                <w:rStyle w:val="VerbatimChar"/>
              </w:rPr>
              <w:t>NDMI_ref</w:t>
            </w:r>
            <w:r>
              <w:t xml:space="preserve">, </w:t>
            </w:r>
            <w:r>
              <w:rPr>
                <w:rStyle w:val="VerbatimChar"/>
              </w:rPr>
              <w:t>NDWI_ref</w:t>
            </w:r>
          </w:p>
        </w:tc>
        <w:tc>
          <w:tcPr>
            <w:tcW w:w="1980" w:type="dxa"/>
          </w:tcPr>
          <w:p w14:paraId="58C386D2" w14:textId="77777777" w:rsidR="00DC3D58" w:rsidRDefault="00000000">
            <w:pPr>
              <w:pStyle w:val="Compact"/>
            </w:pPr>
            <w:r>
              <w:rPr>
                <w:rStyle w:val="VerbatimChar"/>
              </w:rPr>
              <w:t>scaler_dist</w:t>
            </w:r>
          </w:p>
        </w:tc>
        <w:tc>
          <w:tcPr>
            <w:tcW w:w="1980" w:type="dxa"/>
          </w:tcPr>
          <w:p w14:paraId="601804EC" w14:textId="77777777" w:rsidR="00DC3D58" w:rsidRDefault="00000000">
            <w:pPr>
              <w:pStyle w:val="Compact"/>
            </w:pPr>
            <w:r>
              <w:t>Steps 2, 4, 5, 6</w:t>
            </w:r>
          </w:p>
        </w:tc>
      </w:tr>
      <w:tr w:rsidR="00DC3D58" w14:paraId="309DC53A" w14:textId="77777777">
        <w:tc>
          <w:tcPr>
            <w:tcW w:w="1980" w:type="dxa"/>
          </w:tcPr>
          <w:p w14:paraId="4FFE7CC9" w14:textId="77777777" w:rsidR="00DC3D58" w:rsidRDefault="00000000">
            <w:pPr>
              <w:pStyle w:val="Compact"/>
            </w:pPr>
            <w:r>
              <w:rPr>
                <w:b/>
                <w:bCs/>
              </w:rPr>
              <w:t>Condition scoring</w:t>
            </w:r>
            <w:r>
              <w:t xml:space="preserve"> (departure from </w:t>
            </w:r>
            <w:r>
              <w:lastRenderedPageBreak/>
              <w:t>expected)</w:t>
            </w:r>
          </w:p>
        </w:tc>
        <w:tc>
          <w:tcPr>
            <w:tcW w:w="1980" w:type="dxa"/>
          </w:tcPr>
          <w:p w14:paraId="71061138" w14:textId="77777777" w:rsidR="00DC3D58" w:rsidRDefault="00000000">
            <w:pPr>
              <w:pStyle w:val="Compact"/>
            </w:pPr>
            <w:r>
              <w:rPr>
                <w:rStyle w:val="VerbatimChar"/>
              </w:rPr>
              <w:lastRenderedPageBreak/>
              <w:t>NBR_diff</w:t>
            </w:r>
            <w:r>
              <w:t xml:space="preserve">, </w:t>
            </w:r>
            <w:r>
              <w:rPr>
                <w:rStyle w:val="VerbatimChar"/>
              </w:rPr>
              <w:t>NDMI_diff</w:t>
            </w:r>
            <w:r>
              <w:t xml:space="preserve">, </w:t>
            </w:r>
            <w:r>
              <w:rPr>
                <w:rStyle w:val="VerbatimChar"/>
              </w:rPr>
              <w:lastRenderedPageBreak/>
              <w:t>NDWI_diff</w:t>
            </w:r>
          </w:p>
        </w:tc>
        <w:tc>
          <w:tcPr>
            <w:tcW w:w="1980" w:type="dxa"/>
          </w:tcPr>
          <w:p w14:paraId="10CF8842" w14:textId="77777777" w:rsidR="00DC3D58" w:rsidRDefault="00000000">
            <w:pPr>
              <w:pStyle w:val="Compact"/>
            </w:pPr>
            <w:r>
              <w:rPr>
                <w:rStyle w:val="VerbatimChar"/>
              </w:rPr>
              <w:lastRenderedPageBreak/>
              <w:t>scaler_score</w:t>
            </w:r>
          </w:p>
        </w:tc>
        <w:tc>
          <w:tcPr>
            <w:tcW w:w="1980" w:type="dxa"/>
          </w:tcPr>
          <w:p w14:paraId="04AB09A6" w14:textId="77777777" w:rsidR="00DC3D58" w:rsidRDefault="00000000">
            <w:pPr>
              <w:pStyle w:val="Compact"/>
            </w:pPr>
            <w:r>
              <w:t>Step 7</w:t>
            </w:r>
          </w:p>
        </w:tc>
      </w:tr>
    </w:tbl>
    <w:p w14:paraId="2FA40415" w14:textId="77777777" w:rsidR="00DC3D58" w:rsidRDefault="00000000">
      <w:pPr>
        <w:pStyle w:val="BlockText"/>
      </w:pPr>
      <w:r>
        <w:t xml:space="preserve">[!IMPORTANT] Two separate </w:t>
      </w:r>
      <w:r>
        <w:rPr>
          <w:rStyle w:val="VerbatimChar"/>
        </w:rPr>
        <w:t>StandardScaler</w:t>
      </w:r>
      <w:r>
        <w:t xml:space="preserve"> instances are used. </w:t>
      </w:r>
      <w:r>
        <w:rPr>
          <w:rStyle w:val="VerbatimChar"/>
        </w:rPr>
        <w:t>scaler_dist</w:t>
      </w:r>
      <w:r>
        <w:t xml:space="preserve"> is fit on the </w:t>
      </w:r>
      <w:r>
        <w:rPr>
          <w:b/>
          <w:bCs/>
        </w:rPr>
        <w:t>reference-site</w:t>
      </w:r>
      <w:r>
        <w:t xml:space="preserve"> predicted values and then applied to both reference and transformed sites. </w:t>
      </w:r>
      <w:r>
        <w:rPr>
          <w:rStyle w:val="VerbatimChar"/>
        </w:rPr>
        <w:t>scaler_score</w:t>
      </w:r>
      <w:r>
        <w:t xml:space="preserve"> is fit on the </w:t>
      </w:r>
      <w:r>
        <w:rPr>
          <w:b/>
          <w:bCs/>
        </w:rPr>
        <w:t>reference-site</w:t>
      </w:r>
      <w:r>
        <w:t xml:space="preserve"> departure values and then applied to both. Missing values are filled with 0 before scaling.</w:t>
      </w:r>
    </w:p>
    <w:p w14:paraId="423D7471" w14:textId="77777777" w:rsidR="00DC3D58" w:rsidRDefault="00000000">
      <w:pPr>
        <w:pStyle w:val="FirstParagraph"/>
      </w:pPr>
      <w:r>
        <w:rPr>
          <w:b/>
          <w:bCs/>
        </w:rPr>
        <w:t>Rationale:</w:t>
      </w:r>
      <w:r>
        <w:t xml:space="preserve"> Benchmark selection should be based on </w:t>
      </w:r>
      <w:r>
        <w:rPr>
          <w:i/>
          <w:iCs/>
        </w:rPr>
        <w:t>environmental potential</w:t>
      </w:r>
      <w:r>
        <w:t xml:space="preserve"> (what a site should naturally look like), not its current degraded state. Scoring, on the other hand, uses the </w:t>
      </w:r>
      <w:r>
        <w:rPr>
          <w:i/>
          <w:iCs/>
        </w:rPr>
        <w:t>departure</w:t>
      </w:r>
      <w:r>
        <w:t xml:space="preserve"> between observed and predicted values to measure actual condition. Keeping separate scalers prevents cross-contamination of units between these two conceptually different measurements.</w:t>
      </w:r>
    </w:p>
    <w:p w14:paraId="4AA8F296" w14:textId="77777777" w:rsidR="00DC3D58" w:rsidRDefault="00000000">
      <w:r>
        <w:pict w14:anchorId="574B28CC">
          <v:rect id="_x0000_i1027" style="width:0;height:1.5pt" o:hralign="center" o:hrstd="t" o:hr="t"/>
        </w:pict>
      </w:r>
    </w:p>
    <w:p w14:paraId="4E6F2EAC" w14:textId="77777777" w:rsidR="00DC3D58" w:rsidRDefault="00000000">
      <w:pPr>
        <w:pStyle w:val="Heading2"/>
      </w:pPr>
      <w:bookmarkStart w:id="5" w:name="data-split-step-2"/>
      <w:bookmarkEnd w:id="4"/>
      <w:r>
        <w:t>Data Split (Step 2)</w:t>
      </w:r>
    </w:p>
    <w:p w14:paraId="1A5E4F95" w14:textId="77777777" w:rsidR="00DC3D58" w:rsidRDefault="00000000">
      <w:pPr>
        <w:pStyle w:val="FirstParagraph"/>
      </w:pPr>
      <w:r>
        <w:t xml:space="preserve">Sites are split by the </w:t>
      </w:r>
      <w:r>
        <w:rPr>
          <w:rStyle w:val="VerbatimChar"/>
        </w:rPr>
        <w:t>natural</w:t>
      </w:r>
      <w:r>
        <w:t xml:space="preserve"> column: - </w:t>
      </w:r>
      <w:r>
        <w:rPr>
          <w:rStyle w:val="VerbatimChar"/>
        </w:rPr>
        <w:t>natural == 1</w:t>
      </w:r>
      <w:r>
        <w:t xml:space="preserve"> → Reference pool - </w:t>
      </w:r>
      <w:r>
        <w:rPr>
          <w:rStyle w:val="VerbatimChar"/>
        </w:rPr>
        <w:t>natural == 0</w:t>
      </w:r>
      <w:r>
        <w:t xml:space="preserve"> → Test (transformed) sites</w:t>
      </w:r>
    </w:p>
    <w:p w14:paraId="71CD60E1" w14:textId="77777777" w:rsidR="00DC3D58" w:rsidRDefault="00000000">
      <w:r>
        <w:pict w14:anchorId="7968FECF">
          <v:rect id="_x0000_i1028" style="width:0;height:1.5pt" o:hralign="center" o:hrstd="t" o:hr="t"/>
        </w:pict>
      </w:r>
    </w:p>
    <w:p w14:paraId="6F0A90F8" w14:textId="77777777" w:rsidR="00DC3D58" w:rsidRDefault="00000000">
      <w:pPr>
        <w:pStyle w:val="Heading2"/>
      </w:pPr>
      <w:bookmarkStart w:id="6" w:name="standardization-step-3"/>
      <w:bookmarkEnd w:id="5"/>
      <w:r>
        <w:t>Standardization (Step 3)</w:t>
      </w:r>
    </w:p>
    <w:p w14:paraId="03687667" w14:textId="77777777" w:rsidR="00DC3D58" w:rsidRDefault="00000000">
      <w:pPr>
        <w:pStyle w:val="FirstParagraph"/>
      </w:pPr>
      <w:r>
        <w:t xml:space="preserve">Both feature sets are independently standardized (zero mean, unit variance) using </w:t>
      </w:r>
      <w:r>
        <w:rPr>
          <w:rStyle w:val="VerbatimChar"/>
        </w:rPr>
        <w:t>sklearn.preprocessing.StandardScaler</w:t>
      </w:r>
      <w:r>
        <w:t>.</w:t>
      </w:r>
    </w:p>
    <w:tbl>
      <w:tblPr>
        <w:tblStyle w:val="Table"/>
        <w:tblW w:w="5000" w:type="pct"/>
        <w:tblLayout w:type="fixed"/>
        <w:tblLook w:val="0020" w:firstRow="1" w:lastRow="0" w:firstColumn="0" w:lastColumn="0" w:noHBand="0" w:noVBand="0"/>
      </w:tblPr>
      <w:tblGrid>
        <w:gridCol w:w="3192"/>
        <w:gridCol w:w="3192"/>
        <w:gridCol w:w="3192"/>
      </w:tblGrid>
      <w:tr w:rsidR="00DC3D58" w14:paraId="2BF54BD6" w14:textId="77777777" w:rsidTr="00DC3D5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930E14" w14:textId="77777777" w:rsidR="00DC3D58" w:rsidRDefault="00000000">
            <w:pPr>
              <w:pStyle w:val="Compact"/>
            </w:pPr>
            <w:r>
              <w:t>Scaler</w:t>
            </w:r>
          </w:p>
        </w:tc>
        <w:tc>
          <w:tcPr>
            <w:tcW w:w="2640" w:type="dxa"/>
          </w:tcPr>
          <w:p w14:paraId="79900C19" w14:textId="77777777" w:rsidR="00DC3D58" w:rsidRDefault="00000000">
            <w:pPr>
              <w:pStyle w:val="Compact"/>
            </w:pPr>
            <w:r>
              <w:t>Fit on</w:t>
            </w:r>
          </w:p>
        </w:tc>
        <w:tc>
          <w:tcPr>
            <w:tcW w:w="2640" w:type="dxa"/>
          </w:tcPr>
          <w:p w14:paraId="262D1E6F" w14:textId="77777777" w:rsidR="00DC3D58" w:rsidRDefault="00000000">
            <w:pPr>
              <w:pStyle w:val="Compact"/>
            </w:pPr>
            <w:r>
              <w:t>Transform applied to</w:t>
            </w:r>
          </w:p>
        </w:tc>
      </w:tr>
      <w:tr w:rsidR="00DC3D58" w14:paraId="513084E5" w14:textId="77777777">
        <w:tc>
          <w:tcPr>
            <w:tcW w:w="2640" w:type="dxa"/>
          </w:tcPr>
          <w:p w14:paraId="7C6B1D77" w14:textId="77777777" w:rsidR="00DC3D58" w:rsidRDefault="00000000">
            <w:pPr>
              <w:pStyle w:val="Compact"/>
            </w:pPr>
            <w:r>
              <w:rPr>
                <w:rStyle w:val="VerbatimChar"/>
              </w:rPr>
              <w:t>scaler_dist</w:t>
            </w:r>
          </w:p>
        </w:tc>
        <w:tc>
          <w:tcPr>
            <w:tcW w:w="2640" w:type="dxa"/>
          </w:tcPr>
          <w:p w14:paraId="34565E6F" w14:textId="77777777" w:rsidR="00DC3D58" w:rsidRDefault="00000000">
            <w:pPr>
              <w:pStyle w:val="Compact"/>
            </w:pPr>
            <w:r>
              <w:t>Reference predicted values (</w:t>
            </w:r>
            <w:r>
              <w:rPr>
                <w:rStyle w:val="VerbatimChar"/>
              </w:rPr>
              <w:t>NBR_ref</w:t>
            </w:r>
            <w:r>
              <w:t xml:space="preserve">, </w:t>
            </w:r>
            <w:r>
              <w:rPr>
                <w:rStyle w:val="VerbatimChar"/>
              </w:rPr>
              <w:t>NDMI_ref</w:t>
            </w:r>
            <w:r>
              <w:t xml:space="preserve">, </w:t>
            </w:r>
            <w:r>
              <w:rPr>
                <w:rStyle w:val="VerbatimChar"/>
              </w:rPr>
              <w:t>NDWI_ref</w:t>
            </w:r>
            <w:r>
              <w:t>)</w:t>
            </w:r>
          </w:p>
        </w:tc>
        <w:tc>
          <w:tcPr>
            <w:tcW w:w="2640" w:type="dxa"/>
          </w:tcPr>
          <w:p w14:paraId="70719A11" w14:textId="77777777" w:rsidR="00DC3D58" w:rsidRDefault="00000000">
            <w:pPr>
              <w:pStyle w:val="Compact"/>
            </w:pPr>
            <w:r>
              <w:t>Reference + Transformed predicted values</w:t>
            </w:r>
          </w:p>
        </w:tc>
      </w:tr>
      <w:tr w:rsidR="00DC3D58" w14:paraId="47A65466" w14:textId="77777777">
        <w:tc>
          <w:tcPr>
            <w:tcW w:w="2640" w:type="dxa"/>
          </w:tcPr>
          <w:p w14:paraId="4D6735CF" w14:textId="77777777" w:rsidR="00DC3D58" w:rsidRDefault="00000000">
            <w:pPr>
              <w:pStyle w:val="Compact"/>
            </w:pPr>
            <w:r>
              <w:rPr>
                <w:rStyle w:val="VerbatimChar"/>
              </w:rPr>
              <w:t>scaler_score</w:t>
            </w:r>
          </w:p>
        </w:tc>
        <w:tc>
          <w:tcPr>
            <w:tcW w:w="2640" w:type="dxa"/>
          </w:tcPr>
          <w:p w14:paraId="0B882044" w14:textId="77777777" w:rsidR="00DC3D58" w:rsidRDefault="00000000">
            <w:pPr>
              <w:pStyle w:val="Compact"/>
            </w:pPr>
            <w:r>
              <w:t>Reference departure values (</w:t>
            </w:r>
            <w:r>
              <w:rPr>
                <w:rStyle w:val="VerbatimChar"/>
              </w:rPr>
              <w:t>NBR_diff</w:t>
            </w:r>
            <w:r>
              <w:t xml:space="preserve">, </w:t>
            </w:r>
            <w:r>
              <w:rPr>
                <w:rStyle w:val="VerbatimChar"/>
              </w:rPr>
              <w:t>NDMI_diff</w:t>
            </w:r>
            <w:r>
              <w:t xml:space="preserve">, </w:t>
            </w:r>
            <w:r>
              <w:rPr>
                <w:rStyle w:val="VerbatimChar"/>
              </w:rPr>
              <w:t>NDWI_diff</w:t>
            </w:r>
            <w:r>
              <w:t>)</w:t>
            </w:r>
          </w:p>
        </w:tc>
        <w:tc>
          <w:tcPr>
            <w:tcW w:w="2640" w:type="dxa"/>
          </w:tcPr>
          <w:p w14:paraId="004A90EC" w14:textId="77777777" w:rsidR="00DC3D58" w:rsidRDefault="00000000">
            <w:pPr>
              <w:pStyle w:val="Compact"/>
            </w:pPr>
            <w:r>
              <w:t>Reference + Transformed departure values</w:t>
            </w:r>
          </w:p>
        </w:tc>
      </w:tr>
    </w:tbl>
    <w:p w14:paraId="53009C68" w14:textId="77777777" w:rsidR="00DC3D58" w:rsidRDefault="00000000">
      <w:pPr>
        <w:pStyle w:val="BodyText"/>
      </w:pPr>
      <w:r>
        <w:rPr>
          <w:b/>
          <w:bCs/>
        </w:rPr>
        <w:t>Rationale:</w:t>
      </w:r>
      <w:r>
        <w:t xml:space="preserve"> Standardization ensures that each index contributes equally to multi-dimensional distance calculations, preventing any single index from dominating due to scale differences.</w:t>
      </w:r>
    </w:p>
    <w:p w14:paraId="597D115B" w14:textId="77777777" w:rsidR="00DC3D58" w:rsidRDefault="00000000">
      <w:r>
        <w:pict w14:anchorId="4C045032">
          <v:rect id="_x0000_i1029" style="width:0;height:1.5pt" o:hralign="center" o:hrstd="t" o:hr="t"/>
        </w:pict>
      </w:r>
    </w:p>
    <w:p w14:paraId="2E0FA627" w14:textId="77777777" w:rsidR="00DC3D58" w:rsidRDefault="00000000">
      <w:pPr>
        <w:pStyle w:val="Heading2"/>
      </w:pPr>
      <w:bookmarkStart w:id="7" w:name="spatial-index-step-4"/>
      <w:bookmarkEnd w:id="6"/>
      <w:r>
        <w:t>Spatial Index (Step 4)</w:t>
      </w:r>
    </w:p>
    <w:p w14:paraId="2965F4B2" w14:textId="4A24994A" w:rsidR="00DC3D58" w:rsidRDefault="00000000">
      <w:pPr>
        <w:pStyle w:val="FirstParagraph"/>
      </w:pPr>
      <w:r>
        <w:t xml:space="preserve">A </w:t>
      </w:r>
      <w:r>
        <w:rPr>
          <w:rStyle w:val="VerbatimChar"/>
        </w:rPr>
        <w:t>BallTree</w:t>
      </w:r>
      <w:r>
        <w:t xml:space="preserve"> is built from reference-site </w:t>
      </w:r>
      <w:r w:rsidR="00E723CC">
        <w:t xml:space="preserve">(natural sites) </w:t>
      </w:r>
      <w:r>
        <w:t xml:space="preserve">coordinates using the </w:t>
      </w:r>
      <w:r>
        <w:rPr>
          <w:b/>
          <w:bCs/>
        </w:rPr>
        <w:t>Haversine</w:t>
      </w:r>
      <w:r>
        <w:t xml:space="preserve"> metric (coordinates converted to radians).</w:t>
      </w:r>
    </w:p>
    <w:p w14:paraId="476911ED" w14:textId="77777777" w:rsidR="00DC3D58" w:rsidRDefault="00000000">
      <w:pPr>
        <w:pStyle w:val="BodyText"/>
      </w:pPr>
      <w:r>
        <w:rPr>
          <w:b/>
          <w:bCs/>
        </w:rPr>
        <w:lastRenderedPageBreak/>
        <w:t>Rationale:</w:t>
      </w:r>
      <w:r>
        <w:t xml:space="preserve"> Enables efficient radius-based and k-nearest-neighbor queries in geographic space, required for Steps 5 and the background distribution.</w:t>
      </w:r>
    </w:p>
    <w:p w14:paraId="24E192F5" w14:textId="77777777" w:rsidR="00DC3D58" w:rsidRDefault="00000000">
      <w:r>
        <w:pict w14:anchorId="5C8577E3">
          <v:rect id="_x0000_i1030" style="width:0;height:1.5pt" o:hralign="center" o:hrstd="t" o:hr="t"/>
        </w:pict>
      </w:r>
    </w:p>
    <w:p w14:paraId="7CCF7D05" w14:textId="77777777" w:rsidR="00DC3D58" w:rsidRDefault="00000000">
      <w:pPr>
        <w:pStyle w:val="Heading2"/>
      </w:pPr>
      <w:bookmarkStart w:id="8" w:name="X4014883da72c67ebee04a2d4dd4e37d725b74ec"/>
      <w:bookmarkEnd w:id="7"/>
      <w:r>
        <w:t>Background Density Distribution (Step 5 — Pre-computation)</w:t>
      </w:r>
    </w:p>
    <w:p w14:paraId="3EFC159D" w14:textId="77777777" w:rsidR="00DC3D58" w:rsidRDefault="00000000">
      <w:pPr>
        <w:pStyle w:val="BlockText"/>
      </w:pPr>
      <w:r>
        <w:t xml:space="preserve">[!IMPORTANT] This step runs </w:t>
      </w:r>
      <w:r>
        <w:rPr>
          <w:b/>
          <w:bCs/>
        </w:rPr>
        <w:t>once</w:t>
      </w:r>
      <w:r>
        <w:t xml:space="preserve"> before the per-site loop. It constructs the natural-variability baseline used later in Step 9.</w:t>
      </w:r>
    </w:p>
    <w:p w14:paraId="67D5F7FB" w14:textId="77777777" w:rsidR="00DC3D58" w:rsidRDefault="00000000">
      <w:pPr>
        <w:pStyle w:val="Heading3"/>
      </w:pPr>
      <w:bookmarkStart w:id="9" w:name="procedure"/>
      <w:r>
        <w:t>Procedure</w:t>
      </w:r>
    </w:p>
    <w:p w14:paraId="1697511F" w14:textId="77777777" w:rsidR="00DC3D58" w:rsidRDefault="00000000">
      <w:pPr>
        <w:pStyle w:val="Compact"/>
        <w:numPr>
          <w:ilvl w:val="0"/>
          <w:numId w:val="5"/>
        </w:numPr>
      </w:pPr>
      <w:r>
        <w:t xml:space="preserve">Randomly sample </w:t>
      </w:r>
      <w:r>
        <w:rPr>
          <w:b/>
          <w:bCs/>
        </w:rPr>
        <w:t>2,000</w:t>
      </w:r>
      <w:r>
        <w:t xml:space="preserve"> reference sites (without replacement).</w:t>
      </w:r>
    </w:p>
    <w:p w14:paraId="460FCC2E" w14:textId="36A81707" w:rsidR="00DC3D58" w:rsidRDefault="00000000">
      <w:pPr>
        <w:pStyle w:val="Compact"/>
        <w:numPr>
          <w:ilvl w:val="0"/>
          <w:numId w:val="5"/>
        </w:numPr>
      </w:pPr>
      <w:r>
        <w:t xml:space="preserve">For each of the first </w:t>
      </w:r>
      <w:r>
        <w:rPr>
          <w:b/>
          <w:bCs/>
        </w:rPr>
        <w:t>200</w:t>
      </w:r>
      <w:r>
        <w:t xml:space="preserve"> pivot sites </w:t>
      </w:r>
      <w:r w:rsidR="00E723CC">
        <w:t>(</w:t>
      </w:r>
      <w:r w:rsidR="00E723CC" w:rsidRPr="00E723CC">
        <w:t>One reference site is picked as the pivot — the fixed point of comparison</w:t>
      </w:r>
      <w:r w:rsidR="00E723CC">
        <w:t xml:space="preserve">) </w:t>
      </w:r>
      <w:r>
        <w:t>in that sample:</w:t>
      </w:r>
    </w:p>
    <w:p w14:paraId="6718EA35" w14:textId="77777777" w:rsidR="00DC3D58" w:rsidRDefault="00000000">
      <w:pPr>
        <w:pStyle w:val="Compact"/>
        <w:numPr>
          <w:ilvl w:val="1"/>
          <w:numId w:val="6"/>
        </w:numPr>
      </w:pPr>
      <w:r>
        <w:t xml:space="preserve">Find all reference neighbors within a </w:t>
      </w:r>
      <w:r>
        <w:rPr>
          <w:b/>
          <w:bCs/>
        </w:rPr>
        <w:t>1,000 km</w:t>
      </w:r>
      <w:r>
        <w:t xml:space="preserve"> radius.</w:t>
      </w:r>
    </w:p>
    <w:p w14:paraId="41DDE9DE" w14:textId="77777777" w:rsidR="00DC3D58" w:rsidRDefault="00000000">
      <w:pPr>
        <w:pStyle w:val="Compact"/>
        <w:numPr>
          <w:ilvl w:val="1"/>
          <w:numId w:val="6"/>
        </w:numPr>
      </w:pPr>
      <w:r>
        <w:t xml:space="preserve">Sub-sample up to </w:t>
      </w:r>
      <w:r>
        <w:rPr>
          <w:b/>
          <w:bCs/>
        </w:rPr>
        <w:t>100</w:t>
      </w:r>
      <w:r>
        <w:t xml:space="preserve"> of those neighbors (without replacement).</w:t>
      </w:r>
    </w:p>
    <w:p w14:paraId="7961B1BA" w14:textId="77777777" w:rsidR="00DC3D58" w:rsidRDefault="00000000">
      <w:pPr>
        <w:pStyle w:val="Compact"/>
        <w:numPr>
          <w:ilvl w:val="1"/>
          <w:numId w:val="6"/>
        </w:numPr>
      </w:pPr>
      <w:r>
        <w:t xml:space="preserve">Compute </w:t>
      </w:r>
      <w:r>
        <w:rPr>
          <w:b/>
          <w:bCs/>
        </w:rPr>
        <w:t>Manhattan distance</w:t>
      </w:r>
      <w:r>
        <w:t xml:space="preserve"> in standardized reference-condition space between the pivot and each neighbor.</w:t>
      </w:r>
    </w:p>
    <w:p w14:paraId="33EC22BC" w14:textId="77777777" w:rsidR="00DC3D58" w:rsidRDefault="00000000">
      <w:pPr>
        <w:pStyle w:val="Compact"/>
        <w:numPr>
          <w:ilvl w:val="0"/>
          <w:numId w:val="5"/>
        </w:numPr>
      </w:pPr>
      <w:r>
        <w:t>Aggregate all pairwise distances into a histogram.</w:t>
      </w:r>
    </w:p>
    <w:p w14:paraId="04FD4B03" w14:textId="77777777" w:rsidR="00DC3D58" w:rsidRDefault="00000000">
      <w:pPr>
        <w:pStyle w:val="Heading3"/>
      </w:pPr>
      <w:bookmarkStart w:id="10" w:name="histogram-parameters"/>
      <w:bookmarkEnd w:id="9"/>
      <w:r>
        <w:t>Histogram Parameters</w:t>
      </w:r>
    </w:p>
    <w:tbl>
      <w:tblPr>
        <w:tblStyle w:val="Table"/>
        <w:tblW w:w="0" w:type="auto"/>
        <w:tblLook w:val="0020" w:firstRow="1" w:lastRow="0" w:firstColumn="0" w:lastColumn="0" w:noHBand="0" w:noVBand="0"/>
      </w:tblPr>
      <w:tblGrid>
        <w:gridCol w:w="1809"/>
        <w:gridCol w:w="1056"/>
        <w:gridCol w:w="4276"/>
      </w:tblGrid>
      <w:tr w:rsidR="00DC3D58" w14:paraId="3590A237" w14:textId="77777777" w:rsidTr="00DC3D58">
        <w:trPr>
          <w:cnfStyle w:val="100000000000" w:firstRow="1" w:lastRow="0" w:firstColumn="0" w:lastColumn="0" w:oddVBand="0" w:evenVBand="0" w:oddHBand="0" w:evenHBand="0" w:firstRowFirstColumn="0" w:firstRowLastColumn="0" w:lastRowFirstColumn="0" w:lastRowLastColumn="0"/>
          <w:tblHeader/>
        </w:trPr>
        <w:tc>
          <w:tcPr>
            <w:tcW w:w="0" w:type="auto"/>
          </w:tcPr>
          <w:p w14:paraId="043354DC" w14:textId="77777777" w:rsidR="00DC3D58" w:rsidRDefault="00000000">
            <w:pPr>
              <w:pStyle w:val="Compact"/>
            </w:pPr>
            <w:r>
              <w:t>Parameter</w:t>
            </w:r>
          </w:p>
        </w:tc>
        <w:tc>
          <w:tcPr>
            <w:tcW w:w="0" w:type="auto"/>
          </w:tcPr>
          <w:p w14:paraId="404B3A30" w14:textId="77777777" w:rsidR="00DC3D58" w:rsidRDefault="00000000">
            <w:pPr>
              <w:pStyle w:val="Compact"/>
            </w:pPr>
            <w:r>
              <w:t>Value</w:t>
            </w:r>
          </w:p>
        </w:tc>
        <w:tc>
          <w:tcPr>
            <w:tcW w:w="0" w:type="auto"/>
          </w:tcPr>
          <w:p w14:paraId="21041B1B" w14:textId="77777777" w:rsidR="00DC3D58" w:rsidRDefault="00000000">
            <w:pPr>
              <w:pStyle w:val="Compact"/>
            </w:pPr>
            <w:r>
              <w:t>Notes</w:t>
            </w:r>
          </w:p>
        </w:tc>
      </w:tr>
      <w:tr w:rsidR="00DC3D58" w14:paraId="2D579F73" w14:textId="77777777">
        <w:tc>
          <w:tcPr>
            <w:tcW w:w="0" w:type="auto"/>
          </w:tcPr>
          <w:p w14:paraId="08ABF5CB" w14:textId="77777777" w:rsidR="00DC3D58" w:rsidRDefault="00000000">
            <w:pPr>
              <w:pStyle w:val="Compact"/>
            </w:pPr>
            <w:r>
              <w:t>Number of bins</w:t>
            </w:r>
          </w:p>
        </w:tc>
        <w:tc>
          <w:tcPr>
            <w:tcW w:w="0" w:type="auto"/>
          </w:tcPr>
          <w:p w14:paraId="4801301B" w14:textId="77777777" w:rsidR="00DC3D58" w:rsidRDefault="00000000">
            <w:pPr>
              <w:pStyle w:val="Compact"/>
            </w:pPr>
            <w:r>
              <w:t>400</w:t>
            </w:r>
          </w:p>
        </w:tc>
        <w:tc>
          <w:tcPr>
            <w:tcW w:w="0" w:type="auto"/>
          </w:tcPr>
          <w:p w14:paraId="709F60F6" w14:textId="77777777" w:rsidR="00DC3D58" w:rsidRDefault="00DC3D58">
            <w:pPr>
              <w:pStyle w:val="Compact"/>
            </w:pPr>
          </w:p>
        </w:tc>
      </w:tr>
      <w:tr w:rsidR="00DC3D58" w14:paraId="3835EEC3" w14:textId="77777777">
        <w:tc>
          <w:tcPr>
            <w:tcW w:w="0" w:type="auto"/>
          </w:tcPr>
          <w:p w14:paraId="158CCFC7" w14:textId="77777777" w:rsidR="00DC3D58" w:rsidRDefault="00000000">
            <w:pPr>
              <w:pStyle w:val="Compact"/>
            </w:pPr>
            <w:r>
              <w:t>Range</w:t>
            </w:r>
          </w:p>
        </w:tc>
        <w:tc>
          <w:tcPr>
            <w:tcW w:w="0" w:type="auto"/>
          </w:tcPr>
          <w:p w14:paraId="560BC654" w14:textId="77777777" w:rsidR="00DC3D58" w:rsidRDefault="00000000">
            <w:pPr>
              <w:pStyle w:val="Compact"/>
            </w:pPr>
            <w:r>
              <w:t>(0, 20.0)</w:t>
            </w:r>
          </w:p>
        </w:tc>
        <w:tc>
          <w:tcPr>
            <w:tcW w:w="0" w:type="auto"/>
          </w:tcPr>
          <w:p w14:paraId="1CC477D5" w14:textId="77777777" w:rsidR="00DC3D58" w:rsidRDefault="00000000">
            <w:pPr>
              <w:pStyle w:val="Compact"/>
            </w:pPr>
            <w:r>
              <w:t>Standardized Manhattan distance units</w:t>
            </w:r>
          </w:p>
        </w:tc>
      </w:tr>
      <w:tr w:rsidR="00DC3D58" w14:paraId="191CFF71" w14:textId="77777777">
        <w:tc>
          <w:tcPr>
            <w:tcW w:w="0" w:type="auto"/>
          </w:tcPr>
          <w:p w14:paraId="08157427" w14:textId="77777777" w:rsidR="00DC3D58" w:rsidRDefault="00000000">
            <w:pPr>
              <w:pStyle w:val="Compact"/>
            </w:pPr>
            <w:r>
              <w:t>Bin width</w:t>
            </w:r>
          </w:p>
        </w:tc>
        <w:tc>
          <w:tcPr>
            <w:tcW w:w="0" w:type="auto"/>
          </w:tcPr>
          <w:p w14:paraId="3A15B052" w14:textId="77777777" w:rsidR="00DC3D58" w:rsidRDefault="00000000">
            <w:pPr>
              <w:pStyle w:val="Compact"/>
            </w:pPr>
            <w:r>
              <w:t>0.05</w:t>
            </w:r>
          </w:p>
        </w:tc>
        <w:tc>
          <w:tcPr>
            <w:tcW w:w="0" w:type="auto"/>
          </w:tcPr>
          <w:p w14:paraId="6D19FD72" w14:textId="77777777" w:rsidR="00DC3D58" w:rsidRDefault="00000000">
            <w:pPr>
              <w:pStyle w:val="Compact"/>
            </w:pPr>
            <w:r>
              <w:t>= 20.0 / 400</w:t>
            </w:r>
          </w:p>
        </w:tc>
      </w:tr>
      <w:tr w:rsidR="00DC3D58" w14:paraId="0DB3A128" w14:textId="77777777">
        <w:tc>
          <w:tcPr>
            <w:tcW w:w="0" w:type="auto"/>
          </w:tcPr>
          <w:p w14:paraId="088063CD" w14:textId="77777777" w:rsidR="00DC3D58" w:rsidRDefault="00000000">
            <w:pPr>
              <w:pStyle w:val="Compact"/>
            </w:pPr>
            <w:r>
              <w:rPr>
                <w:rStyle w:val="VerbatimChar"/>
              </w:rPr>
              <w:t>density</w:t>
            </w:r>
            <w:r>
              <w:t xml:space="preserve"> flag</w:t>
            </w:r>
          </w:p>
        </w:tc>
        <w:tc>
          <w:tcPr>
            <w:tcW w:w="0" w:type="auto"/>
          </w:tcPr>
          <w:p w14:paraId="40816978" w14:textId="77777777" w:rsidR="00DC3D58" w:rsidRDefault="00000000">
            <w:pPr>
              <w:pStyle w:val="Compact"/>
            </w:pPr>
            <w:r>
              <w:rPr>
                <w:rStyle w:val="VerbatimChar"/>
              </w:rPr>
              <w:t>True</w:t>
            </w:r>
          </w:p>
        </w:tc>
        <w:tc>
          <w:tcPr>
            <w:tcW w:w="0" w:type="auto"/>
          </w:tcPr>
          <w:p w14:paraId="3FB7EAB3" w14:textId="77777777" w:rsidR="00DC3D58" w:rsidRDefault="00000000">
            <w:pPr>
              <w:pStyle w:val="Compact"/>
            </w:pPr>
            <w:r>
              <w:t>Histogram integrates to 1.0 (PDF)</w:t>
            </w:r>
          </w:p>
        </w:tc>
      </w:tr>
    </w:tbl>
    <w:p w14:paraId="3F3A43FD" w14:textId="77777777" w:rsidR="00DC3D58" w:rsidRDefault="00000000">
      <w:pPr>
        <w:pStyle w:val="Compact"/>
        <w:numPr>
          <w:ilvl w:val="0"/>
          <w:numId w:val="7"/>
        </w:numPr>
      </w:pPr>
      <w:r>
        <w:t xml:space="preserve">Convert the histogram to a continuous function via </w:t>
      </w:r>
      <w:r>
        <w:rPr>
          <w:rStyle w:val="VerbatimChar"/>
        </w:rPr>
        <w:t>scipy.interpolate.interp1d</w:t>
      </w:r>
      <w:r>
        <w:t xml:space="preserve"> (linear interpolation) with a floor of </w:t>
      </w:r>
      <w:r>
        <w:rPr>
          <w:rStyle w:val="VerbatimChar"/>
        </w:rPr>
        <w:t>1e-9</w:t>
      </w:r>
      <w:r>
        <w:t xml:space="preserve"> to avoid zero-density artifacts.</w:t>
      </w:r>
    </w:p>
    <w:p w14:paraId="394F0D30" w14:textId="77777777" w:rsidR="00DC3D58" w:rsidRDefault="00000000">
      <w:pPr>
        <w:pStyle w:val="FirstParagraph"/>
      </w:pPr>
      <w:r>
        <w:rPr>
          <w:b/>
          <w:bCs/>
        </w:rPr>
        <w:t>Rationale:</w:t>
      </w:r>
      <w:r>
        <w:t xml:space="preserve"> This distribution defines the range of “normal” spectral differences between pairs of undisturbed natural sites. It is used in Step 9 to select benchmark sites that represent the </w:t>
      </w:r>
      <w:r>
        <w:rPr>
          <w:i/>
          <w:iCs/>
        </w:rPr>
        <w:t>most typical</w:t>
      </w:r>
      <w:r>
        <w:t xml:space="preserve"> natural comparisons — i.e., the mode of the distribution — rather than extreme outliers.</w:t>
      </w:r>
    </w:p>
    <w:p w14:paraId="28B9C0D5" w14:textId="77777777" w:rsidR="00DC3D58" w:rsidRDefault="00000000">
      <w:pPr>
        <w:pStyle w:val="BlockText"/>
      </w:pPr>
      <w:r>
        <w:t>[!NOTE] The 1,000 km sampling radius for the background distribution is intentionally much larger than the 200 km inclusion zone (Step 6). This ensures the density baseline captures the full natural variability of reference-to-reference distances at a regional scale, providing a stable estimate of “typicality.”</w:t>
      </w:r>
    </w:p>
    <w:p w14:paraId="79276F69" w14:textId="77777777" w:rsidR="00DC3D58" w:rsidRDefault="00000000">
      <w:r>
        <w:pict w14:anchorId="0755249F">
          <v:rect id="_x0000_i1031" style="width:0;height:1.5pt" o:hralign="center" o:hrstd="t" o:hr="t"/>
        </w:pict>
      </w:r>
    </w:p>
    <w:p w14:paraId="78EA0CA5" w14:textId="77777777" w:rsidR="00DC3D58" w:rsidRDefault="00000000">
      <w:pPr>
        <w:pStyle w:val="Heading2"/>
      </w:pPr>
      <w:bookmarkStart w:id="11" w:name="per-site-benchmarking-loop-steps-611"/>
      <w:bookmarkEnd w:id="8"/>
      <w:bookmarkEnd w:id="10"/>
      <w:r>
        <w:t>Per-Site Benchmarking Loop (Steps 6–11)</w:t>
      </w:r>
    </w:p>
    <w:p w14:paraId="45F41FBC" w14:textId="77777777" w:rsidR="00DC3D58" w:rsidRDefault="00000000">
      <w:pPr>
        <w:pStyle w:val="FirstParagraph"/>
      </w:pPr>
      <w:r>
        <w:t xml:space="preserve">The following steps are repeated for </w:t>
      </w:r>
      <w:r>
        <w:rPr>
          <w:b/>
          <w:bCs/>
        </w:rPr>
        <w:t>each</w:t>
      </w:r>
      <w:r>
        <w:t xml:space="preserve"> transformed (test) site.</w:t>
      </w:r>
    </w:p>
    <w:p w14:paraId="41724AA2" w14:textId="77777777" w:rsidR="00DC3D58" w:rsidRDefault="00000000">
      <w:r>
        <w:lastRenderedPageBreak/>
        <w:pict w14:anchorId="686AA37A">
          <v:rect id="_x0000_i1032" style="width:0;height:1.5pt" o:hralign="center" o:hrstd="t" o:hr="t"/>
        </w:pict>
      </w:r>
    </w:p>
    <w:p w14:paraId="58A612CD" w14:textId="77777777" w:rsidR="00DC3D58" w:rsidRDefault="00000000">
      <w:pPr>
        <w:pStyle w:val="Heading3"/>
      </w:pPr>
      <w:bookmarkStart w:id="12" w:name="X8646fcf89b5aa40fb7fb5c483e7f07232dbbc3e"/>
      <w:r>
        <w:t>Step 6 — Spatial Filtering (200 km Inclusion Zone)</w:t>
      </w:r>
    </w:p>
    <w:tbl>
      <w:tblPr>
        <w:tblStyle w:val="Table"/>
        <w:tblW w:w="0" w:type="auto"/>
        <w:tblLook w:val="0020" w:firstRow="1" w:lastRow="0" w:firstColumn="0" w:lastColumn="0" w:noHBand="0" w:noVBand="0"/>
      </w:tblPr>
      <w:tblGrid>
        <w:gridCol w:w="2878"/>
        <w:gridCol w:w="1365"/>
      </w:tblGrid>
      <w:tr w:rsidR="00DC3D58" w14:paraId="0C7FECA8" w14:textId="77777777" w:rsidTr="00DC3D58">
        <w:trPr>
          <w:cnfStyle w:val="100000000000" w:firstRow="1" w:lastRow="0" w:firstColumn="0" w:lastColumn="0" w:oddVBand="0" w:evenVBand="0" w:oddHBand="0" w:evenHBand="0" w:firstRowFirstColumn="0" w:firstRowLastColumn="0" w:lastRowFirstColumn="0" w:lastRowLastColumn="0"/>
          <w:tblHeader/>
        </w:trPr>
        <w:tc>
          <w:tcPr>
            <w:tcW w:w="0" w:type="auto"/>
          </w:tcPr>
          <w:p w14:paraId="762C162A" w14:textId="77777777" w:rsidR="00DC3D58" w:rsidRDefault="00000000">
            <w:pPr>
              <w:pStyle w:val="Compact"/>
            </w:pPr>
            <w:r>
              <w:t>Parameter</w:t>
            </w:r>
          </w:p>
        </w:tc>
        <w:tc>
          <w:tcPr>
            <w:tcW w:w="0" w:type="auto"/>
          </w:tcPr>
          <w:p w14:paraId="145B4558" w14:textId="77777777" w:rsidR="00DC3D58" w:rsidRDefault="00000000">
            <w:pPr>
              <w:pStyle w:val="Compact"/>
            </w:pPr>
            <w:r>
              <w:t>Value</w:t>
            </w:r>
          </w:p>
        </w:tc>
      </w:tr>
      <w:tr w:rsidR="00DC3D58" w14:paraId="069B7CBE" w14:textId="77777777">
        <w:tc>
          <w:tcPr>
            <w:tcW w:w="0" w:type="auto"/>
          </w:tcPr>
          <w:p w14:paraId="22A6988A" w14:textId="77777777" w:rsidR="00DC3D58" w:rsidRDefault="00000000">
            <w:pPr>
              <w:pStyle w:val="Compact"/>
            </w:pPr>
            <w:r>
              <w:rPr>
                <w:rStyle w:val="VerbatimChar"/>
              </w:rPr>
              <w:t>BENCHMARK_INCLUSION_KM</w:t>
            </w:r>
          </w:p>
        </w:tc>
        <w:tc>
          <w:tcPr>
            <w:tcW w:w="0" w:type="auto"/>
          </w:tcPr>
          <w:p w14:paraId="6C369FC0" w14:textId="77777777" w:rsidR="00DC3D58" w:rsidRDefault="00000000">
            <w:pPr>
              <w:pStyle w:val="Compact"/>
            </w:pPr>
            <w:r>
              <w:t>200.0</w:t>
            </w:r>
          </w:p>
        </w:tc>
      </w:tr>
      <w:tr w:rsidR="00DC3D58" w14:paraId="31BA7751" w14:textId="77777777">
        <w:tc>
          <w:tcPr>
            <w:tcW w:w="0" w:type="auto"/>
          </w:tcPr>
          <w:p w14:paraId="160D3F65" w14:textId="77777777" w:rsidR="00DC3D58" w:rsidRDefault="00000000">
            <w:pPr>
              <w:pStyle w:val="Compact"/>
            </w:pPr>
            <w:r>
              <w:t>Earth radius</w:t>
            </w:r>
          </w:p>
        </w:tc>
        <w:tc>
          <w:tcPr>
            <w:tcW w:w="0" w:type="auto"/>
          </w:tcPr>
          <w:p w14:paraId="1545CC47" w14:textId="77777777" w:rsidR="00DC3D58" w:rsidRDefault="00000000">
            <w:pPr>
              <w:pStyle w:val="Compact"/>
            </w:pPr>
            <w:r>
              <w:t>6,371.0 km</w:t>
            </w:r>
          </w:p>
        </w:tc>
      </w:tr>
    </w:tbl>
    <w:p w14:paraId="598028C1" w14:textId="77777777" w:rsidR="00DC3D58" w:rsidRDefault="00000000">
      <w:pPr>
        <w:pStyle w:val="BodyText"/>
      </w:pPr>
      <w:r>
        <w:rPr>
          <w:b/>
          <w:bCs/>
        </w:rPr>
        <w:t>Action:</w:t>
      </w:r>
      <w:r>
        <w:t xml:space="preserve"> Query the BallTree for all reference sites within 200 km of the test site.</w:t>
      </w:r>
    </w:p>
    <w:p w14:paraId="24A85526" w14:textId="77777777" w:rsidR="00DC3D58" w:rsidRDefault="00000000">
      <w:pPr>
        <w:pStyle w:val="BodyText"/>
      </w:pPr>
      <w:r>
        <w:rPr>
          <w:b/>
          <w:bCs/>
        </w:rPr>
        <w:t>Fallback:</w:t>
      </w:r>
      <w:r>
        <w:t xml:space="preserve"> If fewer than </w:t>
      </w:r>
      <w:r>
        <w:rPr>
          <w:rStyle w:val="VerbatimChar"/>
        </w:rPr>
        <w:t>FINAL_K</w:t>
      </w:r>
      <w:r>
        <w:t xml:space="preserve"> (10) reference sites are found within 200 km, the script falls back to the </w:t>
      </w:r>
      <w:r>
        <w:rPr>
          <w:b/>
          <w:bCs/>
        </w:rPr>
        <w:t>100 nearest</w:t>
      </w:r>
      <w:r>
        <w:t xml:space="preserve"> reference sites regardless of distance.</w:t>
      </w:r>
    </w:p>
    <w:p w14:paraId="68D74EE5" w14:textId="77777777" w:rsidR="00DC3D58" w:rsidRDefault="00000000">
      <w:pPr>
        <w:pStyle w:val="BodyText"/>
      </w:pPr>
      <w:r>
        <w:rPr>
          <w:b/>
          <w:bCs/>
        </w:rPr>
        <w:t>Rationale:</w:t>
      </w:r>
      <w:r>
        <w:t xml:space="preserve"> Restricting benchmarks to the local geographic context ensures climate, soil, and biome relevance (Tobler’s First Law of Geography). The fallback prevents failure for geographically isolated test sites.</w:t>
      </w:r>
    </w:p>
    <w:p w14:paraId="26FA9AF5" w14:textId="77777777" w:rsidR="00DC3D58" w:rsidRDefault="00000000">
      <w:r>
        <w:pict w14:anchorId="5E0E769B">
          <v:rect id="_x0000_i1033" style="width:0;height:1.5pt" o:hralign="center" o:hrstd="t" o:hr="t"/>
        </w:pict>
      </w:r>
    </w:p>
    <w:p w14:paraId="771774D4" w14:textId="77777777" w:rsidR="00DC3D58" w:rsidRDefault="00000000">
      <w:pPr>
        <w:pStyle w:val="Heading3"/>
      </w:pPr>
      <w:bookmarkStart w:id="13" w:name="Xf065d68811ece3ed7ac9a9049482ff76009e7e5"/>
      <w:bookmarkEnd w:id="12"/>
      <w:r>
        <w:t>Step 7 — Spectral Distance Calculation (Manhattan Distance)</w:t>
      </w:r>
    </w:p>
    <w:p w14:paraId="59E9E253" w14:textId="77777777" w:rsidR="00DC3D58" w:rsidRDefault="00000000">
      <w:pPr>
        <w:pStyle w:val="FirstParagraph"/>
      </w:pPr>
      <w:r>
        <w:rPr>
          <w:b/>
          <w:bCs/>
        </w:rPr>
        <w:t>Action:</w:t>
      </w:r>
      <w:r>
        <w:t xml:space="preserve"> Compute the </w:t>
      </w:r>
      <w:r>
        <w:rPr>
          <w:b/>
          <w:bCs/>
        </w:rPr>
        <w:t>Manhattan distance</w:t>
      </w:r>
      <w:r>
        <w:t xml:space="preserve"> (L1 norm) in standardized reference-condition space between the test site and each candidate reference site from Step 6.</w:t>
      </w:r>
    </w:p>
    <w:p w14:paraId="7C9C66FC" w14:textId="77777777" w:rsidR="00DC3D58" w:rsidRDefault="00000000">
      <w:pPr>
        <w:pStyle w:val="BodyText"/>
      </w:pPr>
      <w:r>
        <w:rPr>
          <w:b/>
          <w:bCs/>
        </w:rPr>
        <w:t>Formula:</w:t>
      </w:r>
      <w:r>
        <w:t xml:space="preserve"> </w:t>
      </w:r>
      <w:r>
        <w:rPr>
          <w:rStyle w:val="VerbatimChar"/>
        </w:rPr>
        <w:t>d = Σ |x_test,j − x_ref,j|</w:t>
      </w:r>
      <w:r>
        <w:t xml:space="preserve"> over </w:t>
      </w:r>
      <w:r>
        <w:rPr>
          <w:rStyle w:val="VerbatimChar"/>
        </w:rPr>
        <w:t>j ∈ {NBR_ref, NDMI_ref, NDWI_ref}</w:t>
      </w:r>
      <w:r>
        <w:t xml:space="preserve"> (standardized)</w:t>
      </w:r>
    </w:p>
    <w:p w14:paraId="1727D3C6" w14:textId="77777777" w:rsidR="00DC3D58" w:rsidRDefault="00000000">
      <w:pPr>
        <w:pStyle w:val="BodyText"/>
      </w:pPr>
      <w:r>
        <w:rPr>
          <w:b/>
          <w:bCs/>
        </w:rPr>
        <w:t>Rationale:</w:t>
      </w:r>
      <w:r>
        <w:t xml:space="preserve"> Manhattan distance on predicted reference values finds reference sites with the most similar </w:t>
      </w:r>
      <w:r>
        <w:rPr>
          <w:i/>
          <w:iCs/>
        </w:rPr>
        <w:t>environmental potential</w:t>
      </w:r>
      <w:r>
        <w:t>, independent of each site’s current condition.</w:t>
      </w:r>
    </w:p>
    <w:p w14:paraId="6DF42114" w14:textId="77777777" w:rsidR="00DC3D58" w:rsidRDefault="00000000">
      <w:r>
        <w:pict w14:anchorId="6BE8F8BD">
          <v:rect id="_x0000_i1034" style="width:0;height:1.5pt" o:hralign="center" o:hrstd="t" o:hr="t"/>
        </w:pict>
      </w:r>
    </w:p>
    <w:p w14:paraId="49A5E76A" w14:textId="77777777" w:rsidR="00DC3D58" w:rsidRDefault="00000000">
      <w:pPr>
        <w:pStyle w:val="Heading3"/>
      </w:pPr>
      <w:bookmarkStart w:id="14" w:name="step-8-top-k-reference-space-filter"/>
      <w:bookmarkEnd w:id="13"/>
      <w:r>
        <w:t>Step 8 — Top-K Reference-Space Filter</w:t>
      </w:r>
    </w:p>
    <w:tbl>
      <w:tblPr>
        <w:tblStyle w:val="Table"/>
        <w:tblW w:w="0" w:type="auto"/>
        <w:tblLook w:val="0020" w:firstRow="1" w:lastRow="0" w:firstColumn="0" w:lastColumn="0" w:noHBand="0" w:noVBand="0"/>
      </w:tblPr>
      <w:tblGrid>
        <w:gridCol w:w="1306"/>
        <w:gridCol w:w="807"/>
      </w:tblGrid>
      <w:tr w:rsidR="00DC3D58" w14:paraId="6859B4E5" w14:textId="77777777" w:rsidTr="00DC3D58">
        <w:trPr>
          <w:cnfStyle w:val="100000000000" w:firstRow="1" w:lastRow="0" w:firstColumn="0" w:lastColumn="0" w:oddVBand="0" w:evenVBand="0" w:oddHBand="0" w:evenHBand="0" w:firstRowFirstColumn="0" w:firstRowLastColumn="0" w:lastRowFirstColumn="0" w:lastRowLastColumn="0"/>
          <w:tblHeader/>
        </w:trPr>
        <w:tc>
          <w:tcPr>
            <w:tcW w:w="0" w:type="auto"/>
          </w:tcPr>
          <w:p w14:paraId="7CAB9DC1" w14:textId="77777777" w:rsidR="00DC3D58" w:rsidRDefault="00000000">
            <w:pPr>
              <w:pStyle w:val="Compact"/>
            </w:pPr>
            <w:r>
              <w:t>Parameter</w:t>
            </w:r>
          </w:p>
        </w:tc>
        <w:tc>
          <w:tcPr>
            <w:tcW w:w="0" w:type="auto"/>
          </w:tcPr>
          <w:p w14:paraId="5ECFE38E" w14:textId="77777777" w:rsidR="00DC3D58" w:rsidRDefault="00000000">
            <w:pPr>
              <w:pStyle w:val="Compact"/>
            </w:pPr>
            <w:r>
              <w:t>Value</w:t>
            </w:r>
          </w:p>
        </w:tc>
      </w:tr>
      <w:tr w:rsidR="00DC3D58" w14:paraId="02206AC9" w14:textId="77777777">
        <w:tc>
          <w:tcPr>
            <w:tcW w:w="0" w:type="auto"/>
          </w:tcPr>
          <w:p w14:paraId="547DAE20" w14:textId="77777777" w:rsidR="00DC3D58" w:rsidRDefault="00000000">
            <w:pPr>
              <w:pStyle w:val="Compact"/>
            </w:pPr>
            <w:r>
              <w:rPr>
                <w:rStyle w:val="VerbatimChar"/>
              </w:rPr>
              <w:t>TOP_K_RS</w:t>
            </w:r>
          </w:p>
        </w:tc>
        <w:tc>
          <w:tcPr>
            <w:tcW w:w="0" w:type="auto"/>
          </w:tcPr>
          <w:p w14:paraId="748DE1E8" w14:textId="77777777" w:rsidR="00DC3D58" w:rsidRDefault="00000000">
            <w:pPr>
              <w:pStyle w:val="Compact"/>
            </w:pPr>
            <w:r>
              <w:t>70</w:t>
            </w:r>
          </w:p>
        </w:tc>
      </w:tr>
    </w:tbl>
    <w:p w14:paraId="30AD4AE8" w14:textId="77777777" w:rsidR="00DC3D58" w:rsidRDefault="00000000">
      <w:pPr>
        <w:pStyle w:val="BodyText"/>
      </w:pPr>
      <w:r>
        <w:rPr>
          <w:b/>
          <w:bCs/>
        </w:rPr>
        <w:t>Action:</w:t>
      </w:r>
      <w:r>
        <w:t xml:space="preserve"> Rank candidates by ascending Manhattan distance and retain the closest </w:t>
      </w:r>
      <w:r>
        <w:rPr>
          <w:b/>
          <w:bCs/>
        </w:rPr>
        <w:t>70</w:t>
      </w:r>
      <w:r>
        <w:t>.</w:t>
      </w:r>
    </w:p>
    <w:p w14:paraId="031F6E5E" w14:textId="77777777" w:rsidR="00DC3D58" w:rsidRDefault="00000000">
      <w:pPr>
        <w:pStyle w:val="BodyText"/>
      </w:pPr>
      <w:r>
        <w:rPr>
          <w:b/>
          <w:bCs/>
        </w:rPr>
        <w:t>Rationale:</w:t>
      </w:r>
      <w:r>
        <w:t xml:space="preserve"> Reduces the candidate pool to the most ecologically similar sites before applying the computationally heavier geographic penalty and density-based ranking.</w:t>
      </w:r>
    </w:p>
    <w:p w14:paraId="67D9CC96" w14:textId="77777777" w:rsidR="00DC3D58" w:rsidRDefault="00000000">
      <w:r>
        <w:pict w14:anchorId="639B6218">
          <v:rect id="_x0000_i1035" style="width:0;height:1.5pt" o:hralign="center" o:hrstd="t" o:hr="t"/>
        </w:pict>
      </w:r>
    </w:p>
    <w:p w14:paraId="298A786D" w14:textId="77777777" w:rsidR="00DC3D58" w:rsidRDefault="00000000">
      <w:pPr>
        <w:pStyle w:val="Heading3"/>
      </w:pPr>
      <w:bookmarkStart w:id="15" w:name="step-9-geographic-distance-penalty"/>
      <w:bookmarkEnd w:id="14"/>
      <w:r>
        <w:t>Step 9 — Geographic Distance Penalty</w:t>
      </w:r>
    </w:p>
    <w:tbl>
      <w:tblPr>
        <w:tblStyle w:val="Table"/>
        <w:tblW w:w="0" w:type="auto"/>
        <w:tblLook w:val="0020" w:firstRow="1" w:lastRow="0" w:firstColumn="0" w:lastColumn="0" w:noHBand="0" w:noVBand="0"/>
      </w:tblPr>
      <w:tblGrid>
        <w:gridCol w:w="1910"/>
        <w:gridCol w:w="1181"/>
      </w:tblGrid>
      <w:tr w:rsidR="00DC3D58" w14:paraId="0255A799" w14:textId="77777777" w:rsidTr="00DC3D58">
        <w:trPr>
          <w:cnfStyle w:val="100000000000" w:firstRow="1" w:lastRow="0" w:firstColumn="0" w:lastColumn="0" w:oddVBand="0" w:evenVBand="0" w:oddHBand="0" w:evenHBand="0" w:firstRowFirstColumn="0" w:firstRowLastColumn="0" w:lastRowFirstColumn="0" w:lastRowLastColumn="0"/>
          <w:tblHeader/>
        </w:trPr>
        <w:tc>
          <w:tcPr>
            <w:tcW w:w="0" w:type="auto"/>
          </w:tcPr>
          <w:p w14:paraId="403AC796" w14:textId="77777777" w:rsidR="00DC3D58" w:rsidRDefault="00000000">
            <w:pPr>
              <w:pStyle w:val="Compact"/>
            </w:pPr>
            <w:r>
              <w:t>Parameter</w:t>
            </w:r>
          </w:p>
        </w:tc>
        <w:tc>
          <w:tcPr>
            <w:tcW w:w="0" w:type="auto"/>
          </w:tcPr>
          <w:p w14:paraId="2A07A51A" w14:textId="77777777" w:rsidR="00DC3D58" w:rsidRDefault="00000000">
            <w:pPr>
              <w:pStyle w:val="Compact"/>
            </w:pPr>
            <w:r>
              <w:t>Value</w:t>
            </w:r>
          </w:p>
        </w:tc>
      </w:tr>
      <w:tr w:rsidR="00DC3D58" w14:paraId="0D297483" w14:textId="77777777">
        <w:tc>
          <w:tcPr>
            <w:tcW w:w="0" w:type="auto"/>
          </w:tcPr>
          <w:p w14:paraId="2B0B4132" w14:textId="77777777" w:rsidR="00DC3D58" w:rsidRDefault="00000000">
            <w:pPr>
              <w:pStyle w:val="Compact"/>
            </w:pPr>
            <w:r>
              <w:rPr>
                <w:rStyle w:val="VerbatimChar"/>
              </w:rPr>
              <w:t>PENALTY_FACTOR</w:t>
            </w:r>
          </w:p>
        </w:tc>
        <w:tc>
          <w:tcPr>
            <w:tcW w:w="0" w:type="auto"/>
          </w:tcPr>
          <w:p w14:paraId="69D0DFE0" w14:textId="77777777" w:rsidR="00DC3D58" w:rsidRDefault="00000000">
            <w:pPr>
              <w:pStyle w:val="Compact"/>
            </w:pPr>
            <w:r>
              <w:t>30.0 (km)</w:t>
            </w:r>
          </w:p>
        </w:tc>
      </w:tr>
    </w:tbl>
    <w:p w14:paraId="0A677ACB" w14:textId="77777777" w:rsidR="00DC3D58" w:rsidRDefault="00000000">
      <w:pPr>
        <w:pStyle w:val="BodyText"/>
      </w:pPr>
      <w:r>
        <w:rPr>
          <w:b/>
          <w:bCs/>
        </w:rPr>
        <w:lastRenderedPageBreak/>
        <w:t>Action:</w:t>
      </w:r>
      <w:r>
        <w:t xml:space="preserve"> Adjust each candidate’s spectral distance using its geographic distance from the test site:</w:t>
      </w:r>
    </w:p>
    <w:p w14:paraId="3EDE6FE0" w14:textId="77777777" w:rsidR="00DC3D58" w:rsidRDefault="00000000">
      <w:pPr>
        <w:pStyle w:val="SourceCode"/>
      </w:pPr>
      <w:r>
        <w:rPr>
          <w:rStyle w:val="VerbatimChar"/>
        </w:rPr>
        <w:t>Adj_Distance = RS_Distance × (1 + Geo_Distance_km / 30.0)</w:t>
      </w:r>
    </w:p>
    <w:p w14:paraId="7676ABB4" w14:textId="77777777" w:rsidR="00DC3D58" w:rsidRDefault="00000000">
      <w:pPr>
        <w:pStyle w:val="FirstParagraph"/>
      </w:pPr>
      <w:r>
        <w:t xml:space="preserve">Geographic distance is computed using the </w:t>
      </w:r>
      <w:r>
        <w:rPr>
          <w:b/>
          <w:bCs/>
        </w:rPr>
        <w:t>Haversine formula</w:t>
      </w:r>
      <w:r>
        <w:t xml:space="preserve"> (inline, not via BallTree).</w:t>
      </w:r>
    </w:p>
    <w:p w14:paraId="41A61599" w14:textId="77777777" w:rsidR="00DC3D58" w:rsidRDefault="00000000">
      <w:pPr>
        <w:pStyle w:val="BodyText"/>
      </w:pPr>
      <w:r>
        <w:rPr>
          <w:b/>
          <w:bCs/>
        </w:rPr>
        <w:t>Rationale:</w:t>
      </w:r>
      <w:r>
        <w:t xml:space="preserve"> Geographically closer reference sites are more likely to share unmeasured environmental drivers (local soil type, fire history, specific hydrology). The penalty inflates the effective distance of geographically distant candidates, favoring nearby ones when spectral similarity is comparable. A </w:t>
      </w:r>
      <w:r>
        <w:rPr>
          <w:rStyle w:val="VerbatimChar"/>
        </w:rPr>
        <w:t>PENALTY_FACTOR</w:t>
      </w:r>
      <w:r>
        <w:t xml:space="preserve"> of 30.0 means a site 30 km away has its spectral distance doubled; a site 300 km away has it multiplied by 11×.</w:t>
      </w:r>
    </w:p>
    <w:p w14:paraId="1B975624" w14:textId="77777777" w:rsidR="00DC3D58" w:rsidRDefault="00000000">
      <w:r>
        <w:pict w14:anchorId="5B0F213D">
          <v:rect id="_x0000_i1036" style="width:0;height:1.5pt" o:hralign="center" o:hrstd="t" o:hr="t"/>
        </w:pict>
      </w:r>
    </w:p>
    <w:p w14:paraId="17D06877" w14:textId="77777777" w:rsidR="00DC3D58" w:rsidRDefault="00000000">
      <w:pPr>
        <w:pStyle w:val="Heading3"/>
      </w:pPr>
      <w:bookmarkStart w:id="16" w:name="Xebddaf389d9c72eac0349bb3fed36d2a08f54d9"/>
      <w:bookmarkEnd w:id="15"/>
      <w:r>
        <w:t>Step 10 — Mode-Based Selection (Density Ranking)</w:t>
      </w:r>
    </w:p>
    <w:tbl>
      <w:tblPr>
        <w:tblStyle w:val="Table"/>
        <w:tblW w:w="0" w:type="auto"/>
        <w:tblLook w:val="0020" w:firstRow="1" w:lastRow="0" w:firstColumn="0" w:lastColumn="0" w:noHBand="0" w:noVBand="0"/>
      </w:tblPr>
      <w:tblGrid>
        <w:gridCol w:w="1306"/>
        <w:gridCol w:w="807"/>
      </w:tblGrid>
      <w:tr w:rsidR="00DC3D58" w14:paraId="2426BCD6" w14:textId="77777777" w:rsidTr="00DC3D58">
        <w:trPr>
          <w:cnfStyle w:val="100000000000" w:firstRow="1" w:lastRow="0" w:firstColumn="0" w:lastColumn="0" w:oddVBand="0" w:evenVBand="0" w:oddHBand="0" w:evenHBand="0" w:firstRowFirstColumn="0" w:firstRowLastColumn="0" w:lastRowFirstColumn="0" w:lastRowLastColumn="0"/>
          <w:tblHeader/>
        </w:trPr>
        <w:tc>
          <w:tcPr>
            <w:tcW w:w="0" w:type="auto"/>
          </w:tcPr>
          <w:p w14:paraId="3144585A" w14:textId="77777777" w:rsidR="00DC3D58" w:rsidRDefault="00000000">
            <w:pPr>
              <w:pStyle w:val="Compact"/>
            </w:pPr>
            <w:r>
              <w:t>Parameter</w:t>
            </w:r>
          </w:p>
        </w:tc>
        <w:tc>
          <w:tcPr>
            <w:tcW w:w="0" w:type="auto"/>
          </w:tcPr>
          <w:p w14:paraId="25FE343D" w14:textId="77777777" w:rsidR="00DC3D58" w:rsidRDefault="00000000">
            <w:pPr>
              <w:pStyle w:val="Compact"/>
            </w:pPr>
            <w:r>
              <w:t>Value</w:t>
            </w:r>
          </w:p>
        </w:tc>
      </w:tr>
      <w:tr w:rsidR="00DC3D58" w14:paraId="4DA4411A" w14:textId="77777777">
        <w:tc>
          <w:tcPr>
            <w:tcW w:w="0" w:type="auto"/>
          </w:tcPr>
          <w:p w14:paraId="7D272BD0" w14:textId="77777777" w:rsidR="00DC3D58" w:rsidRDefault="00000000">
            <w:pPr>
              <w:pStyle w:val="Compact"/>
            </w:pPr>
            <w:r>
              <w:rPr>
                <w:rStyle w:val="VerbatimChar"/>
              </w:rPr>
              <w:t>FINAL_K</w:t>
            </w:r>
          </w:p>
        </w:tc>
        <w:tc>
          <w:tcPr>
            <w:tcW w:w="0" w:type="auto"/>
          </w:tcPr>
          <w:p w14:paraId="62C8D51A" w14:textId="77777777" w:rsidR="00DC3D58" w:rsidRDefault="00000000">
            <w:pPr>
              <w:pStyle w:val="Compact"/>
            </w:pPr>
            <w:r>
              <w:t>10</w:t>
            </w:r>
          </w:p>
        </w:tc>
      </w:tr>
    </w:tbl>
    <w:p w14:paraId="3162698C" w14:textId="77777777" w:rsidR="00DC3D58" w:rsidRDefault="00000000">
      <w:pPr>
        <w:pStyle w:val="BodyText"/>
      </w:pPr>
      <w:r>
        <w:rPr>
          <w:b/>
          <w:bCs/>
        </w:rPr>
        <w:t>Action:</w:t>
      </w:r>
      <w:r>
        <w:t xml:space="preserve"> Using the background density function from Step 5, look up the probability density for each of the 70 penalized distances. Select the </w:t>
      </w:r>
      <w:r>
        <w:rPr>
          <w:b/>
          <w:bCs/>
        </w:rPr>
        <w:t>10 candidates with the highest density</w:t>
      </w:r>
      <w:r>
        <w:t xml:space="preserve"> (i.e., whose adjusted distance falls closest to the mode of the natural reference distribution).</w:t>
      </w:r>
    </w:p>
    <w:p w14:paraId="2777F74D" w14:textId="77777777" w:rsidR="00DC3D58" w:rsidRDefault="00000000">
      <w:pPr>
        <w:pStyle w:val="BodyText"/>
      </w:pPr>
      <w:r>
        <w:rPr>
          <w:b/>
          <w:bCs/>
        </w:rPr>
        <w:t>Rationale:</w:t>
      </w:r>
      <w:r>
        <w:t xml:space="preserve"> Rather than simply selecting the 10 closest sites (which may be statistical outliers — unusually similar by chance), this step selects sites whose similarity to the test site is </w:t>
      </w:r>
      <w:r>
        <w:rPr>
          <w:i/>
          <w:iCs/>
        </w:rPr>
        <w:t>most representative of typical natural variation</w:t>
      </w:r>
      <w:r>
        <w:t>. This yields more robust, less noisy benchmarks.</w:t>
      </w:r>
    </w:p>
    <w:p w14:paraId="40571DD7" w14:textId="77777777" w:rsidR="00DC3D58" w:rsidRDefault="00000000">
      <w:r>
        <w:pict w14:anchorId="6E7AF7ED">
          <v:rect id="_x0000_i1037" style="width:0;height:1.5pt" o:hralign="center" o:hrstd="t" o:hr="t"/>
        </w:pict>
      </w:r>
    </w:p>
    <w:p w14:paraId="692084EA" w14:textId="77777777" w:rsidR="00DC3D58" w:rsidRDefault="00000000">
      <w:pPr>
        <w:pStyle w:val="Heading3"/>
      </w:pPr>
      <w:bookmarkStart w:id="17" w:name="X269e476200cb300781607232450f4ef6c46803e"/>
      <w:bookmarkEnd w:id="16"/>
      <w:r>
        <w:t>Step 11 — Weighted Scoring (Half-Cauchy, Per-Pair Departure)</w:t>
      </w:r>
    </w:p>
    <w:tbl>
      <w:tblPr>
        <w:tblStyle w:val="Table"/>
        <w:tblW w:w="0" w:type="auto"/>
        <w:tblLook w:val="0020" w:firstRow="1" w:lastRow="0" w:firstColumn="0" w:lastColumn="0" w:noHBand="0" w:noVBand="0"/>
      </w:tblPr>
      <w:tblGrid>
        <w:gridCol w:w="2087"/>
        <w:gridCol w:w="807"/>
      </w:tblGrid>
      <w:tr w:rsidR="00DC3D58" w14:paraId="20AF36B7" w14:textId="77777777" w:rsidTr="00DC3D58">
        <w:trPr>
          <w:cnfStyle w:val="100000000000" w:firstRow="1" w:lastRow="0" w:firstColumn="0" w:lastColumn="0" w:oddVBand="0" w:evenVBand="0" w:oddHBand="0" w:evenHBand="0" w:firstRowFirstColumn="0" w:firstRowLastColumn="0" w:lastRowFirstColumn="0" w:lastRowLastColumn="0"/>
          <w:tblHeader/>
        </w:trPr>
        <w:tc>
          <w:tcPr>
            <w:tcW w:w="0" w:type="auto"/>
          </w:tcPr>
          <w:p w14:paraId="1F97ED9C" w14:textId="77777777" w:rsidR="00DC3D58" w:rsidRDefault="00000000">
            <w:pPr>
              <w:pStyle w:val="Compact"/>
            </w:pPr>
            <w:r>
              <w:t>Parameter</w:t>
            </w:r>
          </w:p>
        </w:tc>
        <w:tc>
          <w:tcPr>
            <w:tcW w:w="0" w:type="auto"/>
          </w:tcPr>
          <w:p w14:paraId="22834307" w14:textId="77777777" w:rsidR="00DC3D58" w:rsidRDefault="00000000">
            <w:pPr>
              <w:pStyle w:val="Compact"/>
            </w:pPr>
            <w:r>
              <w:t>Value</w:t>
            </w:r>
          </w:p>
        </w:tc>
      </w:tr>
      <w:tr w:rsidR="00DC3D58" w14:paraId="6BCC1C77" w14:textId="77777777">
        <w:tc>
          <w:tcPr>
            <w:tcW w:w="0" w:type="auto"/>
          </w:tcPr>
          <w:p w14:paraId="7CD2D5C8" w14:textId="77777777" w:rsidR="00DC3D58" w:rsidRDefault="00000000">
            <w:pPr>
              <w:pStyle w:val="Compact"/>
            </w:pPr>
            <w:r>
              <w:rPr>
                <w:rStyle w:val="VerbatimChar"/>
              </w:rPr>
              <w:t>CAUCHY_LAMBDA</w:t>
            </w:r>
            <w:r>
              <w:t xml:space="preserve"> (λ)</w:t>
            </w:r>
          </w:p>
        </w:tc>
        <w:tc>
          <w:tcPr>
            <w:tcW w:w="0" w:type="auto"/>
          </w:tcPr>
          <w:p w14:paraId="3F60488D" w14:textId="77777777" w:rsidR="00DC3D58" w:rsidRDefault="00000000">
            <w:pPr>
              <w:pStyle w:val="Compact"/>
            </w:pPr>
            <w:r>
              <w:t>2.0</w:t>
            </w:r>
          </w:p>
        </w:tc>
      </w:tr>
    </w:tbl>
    <w:p w14:paraId="106CF9DE" w14:textId="77777777" w:rsidR="00DC3D58" w:rsidRDefault="00000000">
      <w:pPr>
        <w:pStyle w:val="Heading4"/>
      </w:pPr>
      <w:bookmarkStart w:id="18" w:name="a.-weighting"/>
      <w:r>
        <w:t>11a. Weighting</w:t>
      </w:r>
    </w:p>
    <w:p w14:paraId="3FBA7E35" w14:textId="77777777" w:rsidR="00DC3D58" w:rsidRDefault="00000000">
      <w:pPr>
        <w:pStyle w:val="FirstParagraph"/>
      </w:pPr>
      <w:r>
        <w:t xml:space="preserve">Each of the 10 selected benchmarks is weighted using a </w:t>
      </w:r>
      <w:r>
        <w:rPr>
          <w:b/>
          <w:bCs/>
        </w:rPr>
        <w:t>Half-Cauchy</w:t>
      </w:r>
      <w:r>
        <w:t xml:space="preserve"> kernel on its penalized distance:</w:t>
      </w:r>
    </w:p>
    <w:p w14:paraId="708898CF" w14:textId="77777777" w:rsidR="00DC3D58" w:rsidRDefault="00000000">
      <w:pPr>
        <w:pStyle w:val="SourceCode"/>
      </w:pPr>
      <w:r>
        <w:rPr>
          <w:rStyle w:val="VerbatimChar"/>
        </w:rPr>
        <w:t>w = 1 / (1 + (distance / λ)²)</w:t>
      </w:r>
    </w:p>
    <w:p w14:paraId="435B2A12" w14:textId="77777777" w:rsidR="00DC3D58" w:rsidRDefault="00000000">
      <w:pPr>
        <w:pStyle w:val="FirstParagraph"/>
      </w:pPr>
      <w:r>
        <w:t>Weights are then normalized to sum to 1.0.</w:t>
      </w:r>
    </w:p>
    <w:p w14:paraId="1B69CB89" w14:textId="77777777" w:rsidR="00DC3D58" w:rsidRDefault="00000000">
      <w:pPr>
        <w:pStyle w:val="BodyText"/>
      </w:pPr>
      <w:r>
        <w:rPr>
          <w:b/>
          <w:bCs/>
        </w:rPr>
        <w:t>Rationale:</w:t>
      </w:r>
      <w:r>
        <w:t xml:space="preserve"> The Half-Cauchy kernel has heavier tails than a Gaussian, gracefully down-weighting distant benchmarks without completely discarding them. λ = 2.0 means a benchmark at distance 2.0 receives half the weight of one at distance 0.</w:t>
      </w:r>
    </w:p>
    <w:p w14:paraId="44B1F5D3" w14:textId="77777777" w:rsidR="00DC3D58" w:rsidRDefault="00000000">
      <w:pPr>
        <w:pStyle w:val="Heading4"/>
      </w:pPr>
      <w:bookmarkStart w:id="19" w:name="b.-composite-departure-calculation"/>
      <w:bookmarkEnd w:id="18"/>
      <w:r>
        <w:lastRenderedPageBreak/>
        <w:t>11b. Composite Departure Calculation</w:t>
      </w:r>
    </w:p>
    <w:p w14:paraId="7A307C30" w14:textId="77777777" w:rsidR="00DC3D58" w:rsidRDefault="00000000">
      <w:pPr>
        <w:pStyle w:val="FirstParagraph"/>
      </w:pPr>
      <w:r>
        <w:rPr>
          <w:b/>
          <w:bCs/>
        </w:rPr>
        <w:t>Actual procedure:</w:t>
      </w:r>
    </w:p>
    <w:p w14:paraId="311923CA" w14:textId="77777777" w:rsidR="00DC3D58" w:rsidRDefault="00000000">
      <w:pPr>
        <w:numPr>
          <w:ilvl w:val="0"/>
          <w:numId w:val="8"/>
        </w:numPr>
      </w:pPr>
      <w:r>
        <w:t xml:space="preserve">For each of the 10 benchmarks, compute the </w:t>
      </w:r>
      <w:r>
        <w:rPr>
          <w:b/>
          <w:bCs/>
        </w:rPr>
        <w:t>Manhattan distance</w:t>
      </w:r>
      <w:r>
        <w:t xml:space="preserve"> between the test site’s standardized departure vector (</w:t>
      </w:r>
      <w:r>
        <w:rPr>
          <w:rStyle w:val="VerbatimChar"/>
        </w:rPr>
        <w:t>NBR_diff</w:t>
      </w:r>
      <w:r>
        <w:t xml:space="preserve">, </w:t>
      </w:r>
      <w:r>
        <w:rPr>
          <w:rStyle w:val="VerbatimChar"/>
        </w:rPr>
        <w:t>NDMI_diff</w:t>
      </w:r>
      <w:r>
        <w:t xml:space="preserve">, </w:t>
      </w:r>
      <w:r>
        <w:rPr>
          <w:rStyle w:val="VerbatimChar"/>
        </w:rPr>
        <w:t>NDWI_diff</w:t>
      </w:r>
      <w:r>
        <w:t>) and the benchmark’s standardized departure vector:</w:t>
      </w:r>
    </w:p>
    <w:p w14:paraId="2C7EDB05" w14:textId="77777777" w:rsidR="00DC3D58" w:rsidRDefault="00000000">
      <w:pPr>
        <w:pStyle w:val="SourceCode"/>
        <w:numPr>
          <w:ilvl w:val="0"/>
          <w:numId w:val="1"/>
        </w:numPr>
      </w:pPr>
      <w:r>
        <w:rPr>
          <w:rStyle w:val="VerbatimChar"/>
        </w:rPr>
        <w:t>pair_departure_i = |T_NBR_diff − B_i_NBR_diff| + |T_NDMI_diff − B_i_NDMI_diff| + |T_NDWI_diff − B_i_NDWI_diff|</w:t>
      </w:r>
    </w:p>
    <w:p w14:paraId="19A5121B" w14:textId="77777777" w:rsidR="00DC3D58" w:rsidRDefault="00000000">
      <w:pPr>
        <w:numPr>
          <w:ilvl w:val="0"/>
          <w:numId w:val="8"/>
        </w:numPr>
      </w:pPr>
      <w:r>
        <w:t xml:space="preserve">Compute the </w:t>
      </w:r>
      <w:r>
        <w:rPr>
          <w:b/>
          <w:bCs/>
        </w:rPr>
        <w:t>weighted average</w:t>
      </w:r>
      <w:r>
        <w:t xml:space="preserve"> of these 10 individual departures:</w:t>
      </w:r>
    </w:p>
    <w:p w14:paraId="6CB44DA1" w14:textId="77777777" w:rsidR="00DC3D58" w:rsidRDefault="00000000">
      <w:pPr>
        <w:pStyle w:val="SourceCode"/>
        <w:numPr>
          <w:ilvl w:val="0"/>
          <w:numId w:val="1"/>
        </w:numPr>
      </w:pPr>
      <w:r>
        <w:rPr>
          <w:rStyle w:val="VerbatimChar"/>
        </w:rPr>
        <w:t>Composite_Departure = Σ (w_i × pair_departure_i)</w:t>
      </w:r>
    </w:p>
    <w:p w14:paraId="5C12FFB0" w14:textId="77777777" w:rsidR="00DC3D58" w:rsidRDefault="00000000">
      <w:pPr>
        <w:pStyle w:val="FirstParagraph"/>
      </w:pPr>
      <w:r>
        <w:rPr>
          <w:b/>
          <w:bCs/>
        </w:rPr>
        <w:t>Rationale (from code comments):</w:t>
      </w:r>
      <w:r>
        <w:t xml:space="preserve"> Computing per-pair distances and then averaging prevents “averaging out” the departures. If benchmark departure vectors point in different directions, a centroid approach could produce a near-zero vector even when individual departures are large. The per-pair approach yields a more realistic (and typically higher) composite departure.</w:t>
      </w:r>
    </w:p>
    <w:p w14:paraId="5FE7F9D9" w14:textId="77777777" w:rsidR="00DC3D58" w:rsidRDefault="00000000">
      <w:r>
        <w:pict w14:anchorId="7E8625F9">
          <v:rect id="_x0000_i1038" style="width:0;height:1.5pt" o:hralign="center" o:hrstd="t" o:hr="t"/>
        </w:pict>
      </w:r>
    </w:p>
    <w:p w14:paraId="6168DDC9" w14:textId="77777777" w:rsidR="00DC3D58" w:rsidRDefault="00000000">
      <w:pPr>
        <w:pStyle w:val="Heading3"/>
      </w:pPr>
      <w:bookmarkStart w:id="20" w:name="step-12-calibration-to-hcas-score-0-1"/>
      <w:bookmarkEnd w:id="17"/>
      <w:bookmarkEnd w:id="19"/>
      <w:r>
        <w:t>Step 12 — Calibration to HCAS Score [0, 1]</w:t>
      </w:r>
    </w:p>
    <w:tbl>
      <w:tblPr>
        <w:tblStyle w:val="Table"/>
        <w:tblW w:w="0" w:type="auto"/>
        <w:tblLook w:val="0020" w:firstRow="1" w:lastRow="0" w:firstColumn="0" w:lastColumn="0" w:noHBand="0" w:noVBand="0"/>
      </w:tblPr>
      <w:tblGrid>
        <w:gridCol w:w="4086"/>
        <w:gridCol w:w="3727"/>
      </w:tblGrid>
      <w:tr w:rsidR="00DC3D58" w14:paraId="669A0955" w14:textId="77777777" w:rsidTr="00DC3D58">
        <w:trPr>
          <w:cnfStyle w:val="100000000000" w:firstRow="1" w:lastRow="0" w:firstColumn="0" w:lastColumn="0" w:oddVBand="0" w:evenVBand="0" w:oddHBand="0" w:evenHBand="0" w:firstRowFirstColumn="0" w:firstRowLastColumn="0" w:lastRowFirstColumn="0" w:lastRowLastColumn="0"/>
          <w:tblHeader/>
        </w:trPr>
        <w:tc>
          <w:tcPr>
            <w:tcW w:w="0" w:type="auto"/>
          </w:tcPr>
          <w:p w14:paraId="0F114DB3" w14:textId="77777777" w:rsidR="00DC3D58" w:rsidRDefault="00000000">
            <w:pPr>
              <w:pStyle w:val="Compact"/>
            </w:pPr>
            <w:r>
              <w:t>Parameter</w:t>
            </w:r>
          </w:p>
        </w:tc>
        <w:tc>
          <w:tcPr>
            <w:tcW w:w="0" w:type="auto"/>
          </w:tcPr>
          <w:p w14:paraId="25DE922A" w14:textId="77777777" w:rsidR="00DC3D58" w:rsidRDefault="00000000">
            <w:pPr>
              <w:pStyle w:val="Compact"/>
            </w:pPr>
            <w:r>
              <w:t>Value</w:t>
            </w:r>
          </w:p>
        </w:tc>
      </w:tr>
      <w:tr w:rsidR="00DC3D58" w14:paraId="4B58C8E5" w14:textId="77777777">
        <w:tc>
          <w:tcPr>
            <w:tcW w:w="0" w:type="auto"/>
          </w:tcPr>
          <w:p w14:paraId="3E64E4EF" w14:textId="77777777" w:rsidR="00DC3D58" w:rsidRDefault="00000000">
            <w:pPr>
              <w:pStyle w:val="Compact"/>
            </w:pPr>
            <w:r>
              <w:t>Departure threshold</w:t>
            </w:r>
          </w:p>
        </w:tc>
        <w:tc>
          <w:tcPr>
            <w:tcW w:w="0" w:type="auto"/>
          </w:tcPr>
          <w:p w14:paraId="3FAF839C" w14:textId="77777777" w:rsidR="00DC3D58" w:rsidRDefault="00000000">
            <w:pPr>
              <w:pStyle w:val="Compact"/>
            </w:pPr>
            <w:r>
              <w:t>2.0 (standardized units)</w:t>
            </w:r>
          </w:p>
        </w:tc>
      </w:tr>
      <w:tr w:rsidR="00DC3D58" w14:paraId="0A48A3D8" w14:textId="77777777">
        <w:tc>
          <w:tcPr>
            <w:tcW w:w="0" w:type="auto"/>
          </w:tcPr>
          <w:p w14:paraId="281FCF23" w14:textId="77777777" w:rsidR="00DC3D58" w:rsidRDefault="00000000">
            <w:pPr>
              <w:pStyle w:val="Compact"/>
            </w:pPr>
            <w:r>
              <w:t>Calibration anchor: “Highly Modified”</w:t>
            </w:r>
          </w:p>
        </w:tc>
        <w:tc>
          <w:tcPr>
            <w:tcW w:w="0" w:type="auto"/>
          </w:tcPr>
          <w:p w14:paraId="675A324D" w14:textId="77777777" w:rsidR="00DC3D58" w:rsidRDefault="00000000">
            <w:pPr>
              <w:pStyle w:val="Compact"/>
            </w:pPr>
            <w:r>
              <w:t>(0.0, 0.101)</w:t>
            </w:r>
          </w:p>
        </w:tc>
      </w:tr>
      <w:tr w:rsidR="00DC3D58" w14:paraId="24769C47" w14:textId="77777777">
        <w:tc>
          <w:tcPr>
            <w:tcW w:w="0" w:type="auto"/>
          </w:tcPr>
          <w:p w14:paraId="1FC25037" w14:textId="77777777" w:rsidR="00DC3D58" w:rsidRDefault="00000000">
            <w:pPr>
              <w:pStyle w:val="Compact"/>
            </w:pPr>
            <w:r>
              <w:t>Calibration anchor: “Reference”</w:t>
            </w:r>
          </w:p>
        </w:tc>
        <w:tc>
          <w:tcPr>
            <w:tcW w:w="0" w:type="auto"/>
          </w:tcPr>
          <w:p w14:paraId="7C8C110A" w14:textId="77777777" w:rsidR="00DC3D58" w:rsidRDefault="00000000">
            <w:pPr>
              <w:pStyle w:val="Compact"/>
            </w:pPr>
            <w:r>
              <w:t>(1.0, 0.944)</w:t>
            </w:r>
          </w:p>
        </w:tc>
      </w:tr>
      <w:tr w:rsidR="00DC3D58" w14:paraId="439362E6" w14:textId="77777777">
        <w:tc>
          <w:tcPr>
            <w:tcW w:w="0" w:type="auto"/>
          </w:tcPr>
          <w:p w14:paraId="75561C24" w14:textId="77777777" w:rsidR="00DC3D58" w:rsidRDefault="00000000">
            <w:pPr>
              <w:pStyle w:val="Compact"/>
            </w:pPr>
            <w:r>
              <w:t>Interpolation</w:t>
            </w:r>
          </w:p>
        </w:tc>
        <w:tc>
          <w:tcPr>
            <w:tcW w:w="0" w:type="auto"/>
          </w:tcPr>
          <w:p w14:paraId="038294CE" w14:textId="77777777" w:rsidR="00DC3D58" w:rsidRDefault="00000000">
            <w:pPr>
              <w:pStyle w:val="Compact"/>
            </w:pPr>
            <w:r>
              <w:t>PCHIP (monotonic cubic Hermite)</w:t>
            </w:r>
          </w:p>
        </w:tc>
      </w:tr>
    </w:tbl>
    <w:p w14:paraId="0845F703" w14:textId="77777777" w:rsidR="00DC3D58" w:rsidRDefault="00000000">
      <w:pPr>
        <w:pStyle w:val="BodyText"/>
      </w:pPr>
      <w:r>
        <w:rPr>
          <w:b/>
          <w:bCs/>
        </w:rPr>
        <w:t>Action:</w:t>
      </w:r>
    </w:p>
    <w:p w14:paraId="7F21DF50" w14:textId="77777777" w:rsidR="00DC3D58" w:rsidRDefault="00000000">
      <w:pPr>
        <w:pStyle w:val="Compact"/>
        <w:numPr>
          <w:ilvl w:val="0"/>
          <w:numId w:val="9"/>
        </w:numPr>
      </w:pPr>
      <w:r>
        <w:t xml:space="preserve">Map the composite departure to an uncalibrated score: </w:t>
      </w:r>
      <w:r>
        <w:rPr>
          <w:rStyle w:val="VerbatimChar"/>
        </w:rPr>
        <w:t>uncalibrated = clip(1 − comp_dep / 2.0, 0, 1)</w:t>
      </w:r>
    </w:p>
    <w:p w14:paraId="51810D3A" w14:textId="77777777" w:rsidR="00DC3D58" w:rsidRDefault="00000000">
      <w:pPr>
        <w:pStyle w:val="Compact"/>
        <w:numPr>
          <w:ilvl w:val="0"/>
          <w:numId w:val="9"/>
        </w:numPr>
      </w:pPr>
      <w:r>
        <w:t>Apply the PCHIP spline to produce the final calibrated HCAS score.</w:t>
      </w:r>
    </w:p>
    <w:p w14:paraId="5EE54C00" w14:textId="77777777" w:rsidR="00DC3D58" w:rsidRDefault="00000000">
      <w:pPr>
        <w:pStyle w:val="FirstParagraph"/>
      </w:pPr>
      <w:r>
        <w:rPr>
          <w:b/>
          <w:bCs/>
        </w:rPr>
        <w:t>Interpretation:</w:t>
      </w:r>
      <w:r>
        <w:t xml:space="preserve"> - A composite departure of 0.0 → uncalibrated = 1.0 → calibrated ≈ </w:t>
      </w:r>
      <w:r>
        <w:rPr>
          <w:b/>
          <w:bCs/>
        </w:rPr>
        <w:t>0.944</w:t>
      </w:r>
      <w:r>
        <w:t xml:space="preserve"> (near-reference condition) - A composite departure of ≥ 2.0 → uncalibrated = 0.0 → calibrated ≈ </w:t>
      </w:r>
      <w:r>
        <w:rPr>
          <w:b/>
          <w:bCs/>
        </w:rPr>
        <w:t>0.101</w:t>
      </w:r>
      <w:r>
        <w:t xml:space="preserve"> (highly modified)</w:t>
      </w:r>
    </w:p>
    <w:p w14:paraId="1DA1855A" w14:textId="77777777" w:rsidR="00DC3D58" w:rsidRDefault="00000000">
      <w:pPr>
        <w:pStyle w:val="BodyText"/>
      </w:pPr>
      <w:r>
        <w:rPr>
          <w:b/>
          <w:bCs/>
        </w:rPr>
        <w:t>Rationale:</w:t>
      </w:r>
      <w:r>
        <w:t xml:space="preserve"> The threshold of 2.0 standardized Manhattan-distance units corresponds conceptually to a “2 standard deviations” departure across 3 indices. The PCHIP spline guarantees monotonicity — greater similarity to benchmarks always produces a higher condition score, avoiding non-physical inversions. The calibration anchors (0.101 and 0.944 rather than 0.0 and 1.0) compress the score range to avoid overconfident extremes.</w:t>
      </w:r>
    </w:p>
    <w:p w14:paraId="58859001" w14:textId="77777777" w:rsidR="00DC3D58" w:rsidRDefault="00000000">
      <w:r>
        <w:pict w14:anchorId="7B6BAA6E">
          <v:rect id="_x0000_i1039" style="width:0;height:1.5pt" o:hralign="center" o:hrstd="t" o:hr="t"/>
        </w:pict>
      </w:r>
    </w:p>
    <w:p w14:paraId="16F26D0D" w14:textId="77777777" w:rsidR="00DC3D58" w:rsidRDefault="00000000">
      <w:pPr>
        <w:pStyle w:val="Heading2"/>
      </w:pPr>
      <w:bookmarkStart w:id="21" w:name="hyperparameter-summary-table"/>
      <w:bookmarkEnd w:id="11"/>
      <w:bookmarkEnd w:id="20"/>
      <w:r>
        <w:lastRenderedPageBreak/>
        <w:t>Hyperparameter Summary Table</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DC3D58" w14:paraId="74BF2315" w14:textId="77777777" w:rsidTr="00DC3D58">
        <w:trPr>
          <w:cnfStyle w:val="100000000000" w:firstRow="1" w:lastRow="0" w:firstColumn="0" w:lastColumn="0" w:oddVBand="0" w:evenVBand="0" w:oddHBand="0" w:evenHBand="0" w:firstRowFirstColumn="0" w:firstRowLastColumn="0" w:lastRowFirstColumn="0" w:lastRowLastColumn="0"/>
          <w:tblHeader/>
        </w:trPr>
        <w:tc>
          <w:tcPr>
            <w:tcW w:w="1584" w:type="dxa"/>
          </w:tcPr>
          <w:p w14:paraId="6D4E5AC5" w14:textId="77777777" w:rsidR="00DC3D58" w:rsidRDefault="00000000">
            <w:pPr>
              <w:pStyle w:val="Compact"/>
            </w:pPr>
            <w:r>
              <w:t>Parameter</w:t>
            </w:r>
          </w:p>
        </w:tc>
        <w:tc>
          <w:tcPr>
            <w:tcW w:w="1584" w:type="dxa"/>
          </w:tcPr>
          <w:p w14:paraId="71FD299B" w14:textId="77777777" w:rsidR="00DC3D58" w:rsidRDefault="00000000">
            <w:pPr>
              <w:pStyle w:val="Compact"/>
            </w:pPr>
            <w:r>
              <w:t>Symbol</w:t>
            </w:r>
          </w:p>
        </w:tc>
        <w:tc>
          <w:tcPr>
            <w:tcW w:w="1584" w:type="dxa"/>
          </w:tcPr>
          <w:p w14:paraId="18320AD5" w14:textId="77777777" w:rsidR="00DC3D58" w:rsidRDefault="00000000">
            <w:pPr>
              <w:pStyle w:val="Compact"/>
            </w:pPr>
            <w:r>
              <w:t>Value</w:t>
            </w:r>
          </w:p>
        </w:tc>
        <w:tc>
          <w:tcPr>
            <w:tcW w:w="1584" w:type="dxa"/>
          </w:tcPr>
          <w:p w14:paraId="52D65A08" w14:textId="77777777" w:rsidR="00DC3D58" w:rsidRDefault="00000000">
            <w:pPr>
              <w:pStyle w:val="Compact"/>
            </w:pPr>
            <w:r>
              <w:t>Step</w:t>
            </w:r>
          </w:p>
        </w:tc>
        <w:tc>
          <w:tcPr>
            <w:tcW w:w="1584" w:type="dxa"/>
          </w:tcPr>
          <w:p w14:paraId="0448B7C8" w14:textId="77777777" w:rsidR="00DC3D58" w:rsidRDefault="00000000">
            <w:pPr>
              <w:pStyle w:val="Compact"/>
            </w:pPr>
            <w:r>
              <w:t>Purpose</w:t>
            </w:r>
          </w:p>
        </w:tc>
      </w:tr>
      <w:tr w:rsidR="00DC3D58" w14:paraId="5892F239" w14:textId="77777777">
        <w:tc>
          <w:tcPr>
            <w:tcW w:w="1584" w:type="dxa"/>
          </w:tcPr>
          <w:p w14:paraId="63B1DC01" w14:textId="77777777" w:rsidR="00DC3D58" w:rsidRDefault="00000000">
            <w:pPr>
              <w:pStyle w:val="Compact"/>
            </w:pPr>
            <w:r>
              <w:t>Spatial inclusion radius</w:t>
            </w:r>
          </w:p>
        </w:tc>
        <w:tc>
          <w:tcPr>
            <w:tcW w:w="1584" w:type="dxa"/>
          </w:tcPr>
          <w:p w14:paraId="39520A79" w14:textId="77777777" w:rsidR="00DC3D58" w:rsidRDefault="00000000">
            <w:pPr>
              <w:pStyle w:val="Compact"/>
            </w:pPr>
            <w:r>
              <w:rPr>
                <w:rStyle w:val="VerbatimChar"/>
              </w:rPr>
              <w:t>BENCHMARK_INCLUSION_KM</w:t>
            </w:r>
          </w:p>
        </w:tc>
        <w:tc>
          <w:tcPr>
            <w:tcW w:w="1584" w:type="dxa"/>
          </w:tcPr>
          <w:p w14:paraId="1B68A451" w14:textId="77777777" w:rsidR="00DC3D58" w:rsidRDefault="00000000">
            <w:pPr>
              <w:pStyle w:val="Compact"/>
            </w:pPr>
            <w:r>
              <w:t>200 km</w:t>
            </w:r>
          </w:p>
        </w:tc>
        <w:tc>
          <w:tcPr>
            <w:tcW w:w="1584" w:type="dxa"/>
          </w:tcPr>
          <w:p w14:paraId="18748188" w14:textId="77777777" w:rsidR="00DC3D58" w:rsidRDefault="00000000">
            <w:pPr>
              <w:pStyle w:val="Compact"/>
            </w:pPr>
            <w:r>
              <w:t>6</w:t>
            </w:r>
          </w:p>
        </w:tc>
        <w:tc>
          <w:tcPr>
            <w:tcW w:w="1584" w:type="dxa"/>
          </w:tcPr>
          <w:p w14:paraId="489A0A88" w14:textId="77777777" w:rsidR="00DC3D58" w:rsidRDefault="00000000">
            <w:pPr>
              <w:pStyle w:val="Compact"/>
            </w:pPr>
            <w:r>
              <w:t>Geographic relevance filter</w:t>
            </w:r>
          </w:p>
        </w:tc>
      </w:tr>
      <w:tr w:rsidR="00DC3D58" w14:paraId="6A5AFECB" w14:textId="77777777">
        <w:tc>
          <w:tcPr>
            <w:tcW w:w="1584" w:type="dxa"/>
          </w:tcPr>
          <w:p w14:paraId="1863675A" w14:textId="77777777" w:rsidR="00DC3D58" w:rsidRDefault="00000000">
            <w:pPr>
              <w:pStyle w:val="Compact"/>
            </w:pPr>
            <w:r>
              <w:t>Top spectral candidates</w:t>
            </w:r>
          </w:p>
        </w:tc>
        <w:tc>
          <w:tcPr>
            <w:tcW w:w="1584" w:type="dxa"/>
          </w:tcPr>
          <w:p w14:paraId="388097BA" w14:textId="77777777" w:rsidR="00DC3D58" w:rsidRDefault="00000000">
            <w:pPr>
              <w:pStyle w:val="Compact"/>
            </w:pPr>
            <w:r>
              <w:rPr>
                <w:rStyle w:val="VerbatimChar"/>
              </w:rPr>
              <w:t>TOP_K_RS</w:t>
            </w:r>
          </w:p>
        </w:tc>
        <w:tc>
          <w:tcPr>
            <w:tcW w:w="1584" w:type="dxa"/>
          </w:tcPr>
          <w:p w14:paraId="38497E9B" w14:textId="77777777" w:rsidR="00DC3D58" w:rsidRDefault="00000000">
            <w:pPr>
              <w:pStyle w:val="Compact"/>
            </w:pPr>
            <w:r>
              <w:t>70</w:t>
            </w:r>
          </w:p>
        </w:tc>
        <w:tc>
          <w:tcPr>
            <w:tcW w:w="1584" w:type="dxa"/>
          </w:tcPr>
          <w:p w14:paraId="768AD772" w14:textId="77777777" w:rsidR="00DC3D58" w:rsidRDefault="00000000">
            <w:pPr>
              <w:pStyle w:val="Compact"/>
            </w:pPr>
            <w:r>
              <w:t>8</w:t>
            </w:r>
          </w:p>
        </w:tc>
        <w:tc>
          <w:tcPr>
            <w:tcW w:w="1584" w:type="dxa"/>
          </w:tcPr>
          <w:p w14:paraId="47783A22" w14:textId="77777777" w:rsidR="00DC3D58" w:rsidRDefault="00000000">
            <w:pPr>
              <w:pStyle w:val="Compact"/>
            </w:pPr>
            <w:r>
              <w:t>Pre-penalty shortlist</w:t>
            </w:r>
          </w:p>
        </w:tc>
      </w:tr>
      <w:tr w:rsidR="00DC3D58" w14:paraId="1DBD3610" w14:textId="77777777">
        <w:tc>
          <w:tcPr>
            <w:tcW w:w="1584" w:type="dxa"/>
          </w:tcPr>
          <w:p w14:paraId="3FEDA6C9" w14:textId="77777777" w:rsidR="00DC3D58" w:rsidRDefault="00000000">
            <w:pPr>
              <w:pStyle w:val="Compact"/>
            </w:pPr>
            <w:r>
              <w:t>Geographic penalty factor</w:t>
            </w:r>
          </w:p>
        </w:tc>
        <w:tc>
          <w:tcPr>
            <w:tcW w:w="1584" w:type="dxa"/>
          </w:tcPr>
          <w:p w14:paraId="1B243C39" w14:textId="77777777" w:rsidR="00DC3D58" w:rsidRDefault="00000000">
            <w:pPr>
              <w:pStyle w:val="Compact"/>
            </w:pPr>
            <w:r>
              <w:rPr>
                <w:rStyle w:val="VerbatimChar"/>
              </w:rPr>
              <w:t>PENALTY_FACTOR</w:t>
            </w:r>
          </w:p>
        </w:tc>
        <w:tc>
          <w:tcPr>
            <w:tcW w:w="1584" w:type="dxa"/>
          </w:tcPr>
          <w:p w14:paraId="582709F5" w14:textId="77777777" w:rsidR="00DC3D58" w:rsidRDefault="00000000">
            <w:pPr>
              <w:pStyle w:val="Compact"/>
            </w:pPr>
            <w:r>
              <w:t>30.0 km</w:t>
            </w:r>
          </w:p>
        </w:tc>
        <w:tc>
          <w:tcPr>
            <w:tcW w:w="1584" w:type="dxa"/>
          </w:tcPr>
          <w:p w14:paraId="6CB5DF22" w14:textId="77777777" w:rsidR="00DC3D58" w:rsidRDefault="00000000">
            <w:pPr>
              <w:pStyle w:val="Compact"/>
            </w:pPr>
            <w:r>
              <w:t>9</w:t>
            </w:r>
          </w:p>
        </w:tc>
        <w:tc>
          <w:tcPr>
            <w:tcW w:w="1584" w:type="dxa"/>
          </w:tcPr>
          <w:p w14:paraId="183E011B" w14:textId="77777777" w:rsidR="00DC3D58" w:rsidRDefault="00000000">
            <w:pPr>
              <w:pStyle w:val="Compact"/>
            </w:pPr>
            <w:r>
              <w:t>Scales geographic-distance penalty</w:t>
            </w:r>
          </w:p>
        </w:tc>
      </w:tr>
      <w:tr w:rsidR="00DC3D58" w14:paraId="02D41929" w14:textId="77777777">
        <w:tc>
          <w:tcPr>
            <w:tcW w:w="1584" w:type="dxa"/>
          </w:tcPr>
          <w:p w14:paraId="7ECFC1B3" w14:textId="77777777" w:rsidR="00DC3D58" w:rsidRDefault="00000000">
            <w:pPr>
              <w:pStyle w:val="Compact"/>
            </w:pPr>
            <w:r>
              <w:t>Final benchmark count</w:t>
            </w:r>
          </w:p>
        </w:tc>
        <w:tc>
          <w:tcPr>
            <w:tcW w:w="1584" w:type="dxa"/>
          </w:tcPr>
          <w:p w14:paraId="0346F195" w14:textId="77777777" w:rsidR="00DC3D58" w:rsidRDefault="00000000">
            <w:pPr>
              <w:pStyle w:val="Compact"/>
            </w:pPr>
            <w:r>
              <w:rPr>
                <w:rStyle w:val="VerbatimChar"/>
              </w:rPr>
              <w:t>FINAL_K</w:t>
            </w:r>
          </w:p>
        </w:tc>
        <w:tc>
          <w:tcPr>
            <w:tcW w:w="1584" w:type="dxa"/>
          </w:tcPr>
          <w:p w14:paraId="53AE96DA" w14:textId="77777777" w:rsidR="00DC3D58" w:rsidRDefault="00000000">
            <w:pPr>
              <w:pStyle w:val="Compact"/>
            </w:pPr>
            <w:r>
              <w:t>10</w:t>
            </w:r>
          </w:p>
        </w:tc>
        <w:tc>
          <w:tcPr>
            <w:tcW w:w="1584" w:type="dxa"/>
          </w:tcPr>
          <w:p w14:paraId="6BDE0C1A" w14:textId="77777777" w:rsidR="00DC3D58" w:rsidRDefault="00000000">
            <w:pPr>
              <w:pStyle w:val="Compact"/>
            </w:pPr>
            <w:r>
              <w:t>10</w:t>
            </w:r>
          </w:p>
        </w:tc>
        <w:tc>
          <w:tcPr>
            <w:tcW w:w="1584" w:type="dxa"/>
          </w:tcPr>
          <w:p w14:paraId="4083294C" w14:textId="77777777" w:rsidR="00DC3D58" w:rsidRDefault="00000000">
            <w:pPr>
              <w:pStyle w:val="Compact"/>
            </w:pPr>
            <w:r>
              <w:t>Benchmarks per test site</w:t>
            </w:r>
          </w:p>
        </w:tc>
      </w:tr>
      <w:tr w:rsidR="00DC3D58" w14:paraId="2EBDF093" w14:textId="77777777">
        <w:tc>
          <w:tcPr>
            <w:tcW w:w="1584" w:type="dxa"/>
          </w:tcPr>
          <w:p w14:paraId="1DD5F77D" w14:textId="77777777" w:rsidR="00DC3D58" w:rsidRDefault="00000000">
            <w:pPr>
              <w:pStyle w:val="Compact"/>
            </w:pPr>
            <w:r>
              <w:t>Cauchy weighting scale</w:t>
            </w:r>
          </w:p>
        </w:tc>
        <w:tc>
          <w:tcPr>
            <w:tcW w:w="1584" w:type="dxa"/>
          </w:tcPr>
          <w:p w14:paraId="348435BA" w14:textId="77777777" w:rsidR="00DC3D58" w:rsidRDefault="00000000">
            <w:pPr>
              <w:pStyle w:val="Compact"/>
            </w:pPr>
            <w:r>
              <w:rPr>
                <w:rStyle w:val="VerbatimChar"/>
              </w:rPr>
              <w:t>CAUCHY_LAMBDA</w:t>
            </w:r>
          </w:p>
        </w:tc>
        <w:tc>
          <w:tcPr>
            <w:tcW w:w="1584" w:type="dxa"/>
          </w:tcPr>
          <w:p w14:paraId="4F0DFDB5" w14:textId="77777777" w:rsidR="00DC3D58" w:rsidRDefault="00000000">
            <w:pPr>
              <w:pStyle w:val="Compact"/>
            </w:pPr>
            <w:r>
              <w:t>2.0</w:t>
            </w:r>
          </w:p>
        </w:tc>
        <w:tc>
          <w:tcPr>
            <w:tcW w:w="1584" w:type="dxa"/>
          </w:tcPr>
          <w:p w14:paraId="66CADA20" w14:textId="77777777" w:rsidR="00DC3D58" w:rsidRDefault="00000000">
            <w:pPr>
              <w:pStyle w:val="Compact"/>
            </w:pPr>
            <w:r>
              <w:t>11</w:t>
            </w:r>
          </w:p>
        </w:tc>
        <w:tc>
          <w:tcPr>
            <w:tcW w:w="1584" w:type="dxa"/>
          </w:tcPr>
          <w:p w14:paraId="0F1EE182" w14:textId="77777777" w:rsidR="00DC3D58" w:rsidRDefault="00000000">
            <w:pPr>
              <w:pStyle w:val="Compact"/>
            </w:pPr>
            <w:r>
              <w:t>Controls weight falloff</w:t>
            </w:r>
          </w:p>
        </w:tc>
      </w:tr>
      <w:tr w:rsidR="00DC3D58" w14:paraId="30AA16DD" w14:textId="77777777">
        <w:tc>
          <w:tcPr>
            <w:tcW w:w="1584" w:type="dxa"/>
          </w:tcPr>
          <w:p w14:paraId="47C301A8" w14:textId="77777777" w:rsidR="00DC3D58" w:rsidRDefault="00000000">
            <w:pPr>
              <w:pStyle w:val="Compact"/>
            </w:pPr>
            <w:r>
              <w:t>Departure threshold</w:t>
            </w:r>
          </w:p>
        </w:tc>
        <w:tc>
          <w:tcPr>
            <w:tcW w:w="1584" w:type="dxa"/>
          </w:tcPr>
          <w:p w14:paraId="1F236419" w14:textId="77777777" w:rsidR="00DC3D58" w:rsidRDefault="00000000">
            <w:pPr>
              <w:pStyle w:val="Compact"/>
            </w:pPr>
            <w:r>
              <w:t>—</w:t>
            </w:r>
          </w:p>
        </w:tc>
        <w:tc>
          <w:tcPr>
            <w:tcW w:w="1584" w:type="dxa"/>
          </w:tcPr>
          <w:p w14:paraId="2BC3D34C" w14:textId="77777777" w:rsidR="00DC3D58" w:rsidRDefault="00000000">
            <w:pPr>
              <w:pStyle w:val="Compact"/>
            </w:pPr>
            <w:r>
              <w:t>2.0</w:t>
            </w:r>
          </w:p>
        </w:tc>
        <w:tc>
          <w:tcPr>
            <w:tcW w:w="1584" w:type="dxa"/>
          </w:tcPr>
          <w:p w14:paraId="128DD7A4" w14:textId="77777777" w:rsidR="00DC3D58" w:rsidRDefault="00000000">
            <w:pPr>
              <w:pStyle w:val="Compact"/>
            </w:pPr>
            <w:r>
              <w:t>12</w:t>
            </w:r>
          </w:p>
        </w:tc>
        <w:tc>
          <w:tcPr>
            <w:tcW w:w="1584" w:type="dxa"/>
          </w:tcPr>
          <w:p w14:paraId="66965790" w14:textId="77777777" w:rsidR="00DC3D58" w:rsidRDefault="00000000">
            <w:pPr>
              <w:pStyle w:val="Compact"/>
            </w:pPr>
            <w:r>
              <w:t>Maps departure to [0,1]</w:t>
            </w:r>
          </w:p>
        </w:tc>
      </w:tr>
      <w:tr w:rsidR="00DC3D58" w14:paraId="533C6336" w14:textId="77777777">
        <w:tc>
          <w:tcPr>
            <w:tcW w:w="1584" w:type="dxa"/>
          </w:tcPr>
          <w:p w14:paraId="083BF72D" w14:textId="77777777" w:rsidR="00DC3D58" w:rsidRDefault="00000000">
            <w:pPr>
              <w:pStyle w:val="Compact"/>
            </w:pPr>
            <w:r>
              <w:t>Calibration anchors</w:t>
            </w:r>
          </w:p>
        </w:tc>
        <w:tc>
          <w:tcPr>
            <w:tcW w:w="1584" w:type="dxa"/>
          </w:tcPr>
          <w:p w14:paraId="7F86397C" w14:textId="77777777" w:rsidR="00DC3D58" w:rsidRDefault="00000000">
            <w:pPr>
              <w:pStyle w:val="Compact"/>
            </w:pPr>
            <w:r>
              <w:rPr>
                <w:rStyle w:val="VerbatimChar"/>
              </w:rPr>
              <w:t>CALIB_POINTS</w:t>
            </w:r>
          </w:p>
        </w:tc>
        <w:tc>
          <w:tcPr>
            <w:tcW w:w="1584" w:type="dxa"/>
          </w:tcPr>
          <w:p w14:paraId="5B583677" w14:textId="77777777" w:rsidR="00DC3D58" w:rsidRDefault="00000000">
            <w:pPr>
              <w:pStyle w:val="Compact"/>
            </w:pPr>
            <w:r>
              <w:t>(0→0.101, 1→0.944)</w:t>
            </w:r>
          </w:p>
        </w:tc>
        <w:tc>
          <w:tcPr>
            <w:tcW w:w="1584" w:type="dxa"/>
          </w:tcPr>
          <w:p w14:paraId="622E6D23" w14:textId="77777777" w:rsidR="00DC3D58" w:rsidRDefault="00000000">
            <w:pPr>
              <w:pStyle w:val="Compact"/>
            </w:pPr>
            <w:r>
              <w:t>12</w:t>
            </w:r>
          </w:p>
        </w:tc>
        <w:tc>
          <w:tcPr>
            <w:tcW w:w="1584" w:type="dxa"/>
          </w:tcPr>
          <w:p w14:paraId="2A1DC5DC" w14:textId="77777777" w:rsidR="00DC3D58" w:rsidRDefault="00000000">
            <w:pPr>
              <w:pStyle w:val="Compact"/>
            </w:pPr>
            <w:r>
              <w:t>PCHIP spline endpoints</w:t>
            </w:r>
          </w:p>
        </w:tc>
      </w:tr>
      <w:tr w:rsidR="00DC3D58" w14:paraId="72C29E36" w14:textId="77777777">
        <w:tc>
          <w:tcPr>
            <w:tcW w:w="1584" w:type="dxa"/>
          </w:tcPr>
          <w:p w14:paraId="4EB6E3BC" w14:textId="77777777" w:rsidR="00DC3D58" w:rsidRDefault="00000000">
            <w:pPr>
              <w:pStyle w:val="Compact"/>
            </w:pPr>
            <w:r>
              <w:t>Background sample pool</w:t>
            </w:r>
          </w:p>
        </w:tc>
        <w:tc>
          <w:tcPr>
            <w:tcW w:w="1584" w:type="dxa"/>
          </w:tcPr>
          <w:p w14:paraId="594B8A52" w14:textId="77777777" w:rsidR="00DC3D58" w:rsidRDefault="00000000">
            <w:pPr>
              <w:pStyle w:val="Compact"/>
            </w:pPr>
            <w:r>
              <w:t>—</w:t>
            </w:r>
          </w:p>
        </w:tc>
        <w:tc>
          <w:tcPr>
            <w:tcW w:w="1584" w:type="dxa"/>
          </w:tcPr>
          <w:p w14:paraId="420662A0" w14:textId="77777777" w:rsidR="00DC3D58" w:rsidRDefault="00000000">
            <w:pPr>
              <w:pStyle w:val="Compact"/>
            </w:pPr>
            <w:r>
              <w:t>2,000 sites</w:t>
            </w:r>
          </w:p>
        </w:tc>
        <w:tc>
          <w:tcPr>
            <w:tcW w:w="1584" w:type="dxa"/>
          </w:tcPr>
          <w:p w14:paraId="0A02711D" w14:textId="77777777" w:rsidR="00DC3D58" w:rsidRDefault="00000000">
            <w:pPr>
              <w:pStyle w:val="Compact"/>
            </w:pPr>
            <w:r>
              <w:t>5</w:t>
            </w:r>
          </w:p>
        </w:tc>
        <w:tc>
          <w:tcPr>
            <w:tcW w:w="1584" w:type="dxa"/>
          </w:tcPr>
          <w:p w14:paraId="1ABA28F9" w14:textId="77777777" w:rsidR="00DC3D58" w:rsidRDefault="00000000">
            <w:pPr>
              <w:pStyle w:val="Compact"/>
            </w:pPr>
            <w:r>
              <w:t>Density estimation</w:t>
            </w:r>
          </w:p>
        </w:tc>
      </w:tr>
      <w:tr w:rsidR="00DC3D58" w14:paraId="76B8B702" w14:textId="77777777">
        <w:tc>
          <w:tcPr>
            <w:tcW w:w="1584" w:type="dxa"/>
          </w:tcPr>
          <w:p w14:paraId="2F3C81F1" w14:textId="77777777" w:rsidR="00DC3D58" w:rsidRDefault="00000000">
            <w:pPr>
              <w:pStyle w:val="Compact"/>
            </w:pPr>
            <w:r>
              <w:t>Background pivot count</w:t>
            </w:r>
          </w:p>
        </w:tc>
        <w:tc>
          <w:tcPr>
            <w:tcW w:w="1584" w:type="dxa"/>
          </w:tcPr>
          <w:p w14:paraId="3F51CC00" w14:textId="77777777" w:rsidR="00DC3D58" w:rsidRDefault="00000000">
            <w:pPr>
              <w:pStyle w:val="Compact"/>
            </w:pPr>
            <w:r>
              <w:t>—</w:t>
            </w:r>
          </w:p>
        </w:tc>
        <w:tc>
          <w:tcPr>
            <w:tcW w:w="1584" w:type="dxa"/>
          </w:tcPr>
          <w:p w14:paraId="400BE07C" w14:textId="77777777" w:rsidR="00DC3D58" w:rsidRDefault="00000000">
            <w:pPr>
              <w:pStyle w:val="Compact"/>
            </w:pPr>
            <w:r>
              <w:t>200 sites</w:t>
            </w:r>
          </w:p>
        </w:tc>
        <w:tc>
          <w:tcPr>
            <w:tcW w:w="1584" w:type="dxa"/>
          </w:tcPr>
          <w:p w14:paraId="22AFCFA3" w14:textId="77777777" w:rsidR="00DC3D58" w:rsidRDefault="00000000">
            <w:pPr>
              <w:pStyle w:val="Compact"/>
            </w:pPr>
            <w:r>
              <w:t>5</w:t>
            </w:r>
          </w:p>
        </w:tc>
        <w:tc>
          <w:tcPr>
            <w:tcW w:w="1584" w:type="dxa"/>
          </w:tcPr>
          <w:p w14:paraId="4DBD6AD8" w14:textId="77777777" w:rsidR="00DC3D58" w:rsidRDefault="00000000">
            <w:pPr>
              <w:pStyle w:val="Compact"/>
            </w:pPr>
            <w:r>
              <w:t>Actual density computation</w:t>
            </w:r>
          </w:p>
        </w:tc>
      </w:tr>
      <w:tr w:rsidR="00DC3D58" w14:paraId="7FF911E6" w14:textId="77777777">
        <w:tc>
          <w:tcPr>
            <w:tcW w:w="1584" w:type="dxa"/>
          </w:tcPr>
          <w:p w14:paraId="2751C010" w14:textId="77777777" w:rsidR="00DC3D58" w:rsidRDefault="00000000">
            <w:pPr>
              <w:pStyle w:val="Compact"/>
            </w:pPr>
            <w:r>
              <w:t>Background neighbor radius</w:t>
            </w:r>
          </w:p>
        </w:tc>
        <w:tc>
          <w:tcPr>
            <w:tcW w:w="1584" w:type="dxa"/>
          </w:tcPr>
          <w:p w14:paraId="0641F4DE" w14:textId="77777777" w:rsidR="00DC3D58" w:rsidRDefault="00000000">
            <w:pPr>
              <w:pStyle w:val="Compact"/>
            </w:pPr>
            <w:r>
              <w:t>—</w:t>
            </w:r>
          </w:p>
        </w:tc>
        <w:tc>
          <w:tcPr>
            <w:tcW w:w="1584" w:type="dxa"/>
          </w:tcPr>
          <w:p w14:paraId="2B5B8DF7" w14:textId="77777777" w:rsidR="00DC3D58" w:rsidRDefault="00000000">
            <w:pPr>
              <w:pStyle w:val="Compact"/>
            </w:pPr>
            <w:r>
              <w:t>1,000 km</w:t>
            </w:r>
          </w:p>
        </w:tc>
        <w:tc>
          <w:tcPr>
            <w:tcW w:w="1584" w:type="dxa"/>
          </w:tcPr>
          <w:p w14:paraId="726201BD" w14:textId="77777777" w:rsidR="00DC3D58" w:rsidRDefault="00000000">
            <w:pPr>
              <w:pStyle w:val="Compact"/>
            </w:pPr>
            <w:r>
              <w:t>5</w:t>
            </w:r>
          </w:p>
        </w:tc>
        <w:tc>
          <w:tcPr>
            <w:tcW w:w="1584" w:type="dxa"/>
          </w:tcPr>
          <w:p w14:paraId="34E994AA" w14:textId="77777777" w:rsidR="00DC3D58" w:rsidRDefault="00000000">
            <w:pPr>
              <w:pStyle w:val="Compact"/>
            </w:pPr>
            <w:r>
              <w:t>Regional density scope</w:t>
            </w:r>
          </w:p>
        </w:tc>
      </w:tr>
      <w:tr w:rsidR="00DC3D58" w14:paraId="3FE84930" w14:textId="77777777">
        <w:tc>
          <w:tcPr>
            <w:tcW w:w="1584" w:type="dxa"/>
          </w:tcPr>
          <w:p w14:paraId="1130A416" w14:textId="77777777" w:rsidR="00DC3D58" w:rsidRDefault="00000000">
            <w:pPr>
              <w:pStyle w:val="Compact"/>
            </w:pPr>
            <w:r>
              <w:t>Background neighbor cap</w:t>
            </w:r>
          </w:p>
        </w:tc>
        <w:tc>
          <w:tcPr>
            <w:tcW w:w="1584" w:type="dxa"/>
          </w:tcPr>
          <w:p w14:paraId="12139977" w14:textId="77777777" w:rsidR="00DC3D58" w:rsidRDefault="00000000">
            <w:pPr>
              <w:pStyle w:val="Compact"/>
            </w:pPr>
            <w:r>
              <w:t>—</w:t>
            </w:r>
          </w:p>
        </w:tc>
        <w:tc>
          <w:tcPr>
            <w:tcW w:w="1584" w:type="dxa"/>
          </w:tcPr>
          <w:p w14:paraId="14F329EC" w14:textId="77777777" w:rsidR="00DC3D58" w:rsidRDefault="00000000">
            <w:pPr>
              <w:pStyle w:val="Compact"/>
            </w:pPr>
            <w:r>
              <w:t>100 per pivot</w:t>
            </w:r>
          </w:p>
        </w:tc>
        <w:tc>
          <w:tcPr>
            <w:tcW w:w="1584" w:type="dxa"/>
          </w:tcPr>
          <w:p w14:paraId="4F9C0558" w14:textId="77777777" w:rsidR="00DC3D58" w:rsidRDefault="00000000">
            <w:pPr>
              <w:pStyle w:val="Compact"/>
            </w:pPr>
            <w:r>
              <w:t>5</w:t>
            </w:r>
          </w:p>
        </w:tc>
        <w:tc>
          <w:tcPr>
            <w:tcW w:w="1584" w:type="dxa"/>
          </w:tcPr>
          <w:p w14:paraId="2F85ED2B" w14:textId="77777777" w:rsidR="00DC3D58" w:rsidRDefault="00000000">
            <w:pPr>
              <w:pStyle w:val="Compact"/>
            </w:pPr>
            <w:r>
              <w:t>Limits pairwise comparisons</w:t>
            </w:r>
          </w:p>
        </w:tc>
      </w:tr>
      <w:tr w:rsidR="00DC3D58" w14:paraId="72F17F8B" w14:textId="77777777">
        <w:tc>
          <w:tcPr>
            <w:tcW w:w="1584" w:type="dxa"/>
          </w:tcPr>
          <w:p w14:paraId="4D4C839D" w14:textId="77777777" w:rsidR="00DC3D58" w:rsidRDefault="00000000">
            <w:pPr>
              <w:pStyle w:val="Compact"/>
            </w:pPr>
            <w:r>
              <w:t>Histogram bins</w:t>
            </w:r>
          </w:p>
        </w:tc>
        <w:tc>
          <w:tcPr>
            <w:tcW w:w="1584" w:type="dxa"/>
          </w:tcPr>
          <w:p w14:paraId="0B61FB53" w14:textId="77777777" w:rsidR="00DC3D58" w:rsidRDefault="00000000">
            <w:pPr>
              <w:pStyle w:val="Compact"/>
            </w:pPr>
            <w:r>
              <w:t>—</w:t>
            </w:r>
          </w:p>
        </w:tc>
        <w:tc>
          <w:tcPr>
            <w:tcW w:w="1584" w:type="dxa"/>
          </w:tcPr>
          <w:p w14:paraId="48F35819" w14:textId="77777777" w:rsidR="00DC3D58" w:rsidRDefault="00000000">
            <w:pPr>
              <w:pStyle w:val="Compact"/>
            </w:pPr>
            <w:r>
              <w:t>400 (width 0.05)</w:t>
            </w:r>
          </w:p>
        </w:tc>
        <w:tc>
          <w:tcPr>
            <w:tcW w:w="1584" w:type="dxa"/>
          </w:tcPr>
          <w:p w14:paraId="3A8792B8" w14:textId="77777777" w:rsidR="00DC3D58" w:rsidRDefault="00000000">
            <w:pPr>
              <w:pStyle w:val="Compact"/>
            </w:pPr>
            <w:r>
              <w:t>5</w:t>
            </w:r>
          </w:p>
        </w:tc>
        <w:tc>
          <w:tcPr>
            <w:tcW w:w="1584" w:type="dxa"/>
          </w:tcPr>
          <w:p w14:paraId="7E147C4D" w14:textId="77777777" w:rsidR="00DC3D58" w:rsidRDefault="00000000">
            <w:pPr>
              <w:pStyle w:val="Compact"/>
            </w:pPr>
            <w:r>
              <w:t>Density resolution</w:t>
            </w:r>
          </w:p>
        </w:tc>
      </w:tr>
      <w:tr w:rsidR="00DC3D58" w14:paraId="2D5CAE45" w14:textId="77777777">
        <w:tc>
          <w:tcPr>
            <w:tcW w:w="1584" w:type="dxa"/>
          </w:tcPr>
          <w:p w14:paraId="35B6F527" w14:textId="77777777" w:rsidR="00DC3D58" w:rsidRDefault="00000000">
            <w:pPr>
              <w:pStyle w:val="Compact"/>
            </w:pPr>
            <w:r>
              <w:t>Spatial fallback k</w:t>
            </w:r>
          </w:p>
        </w:tc>
        <w:tc>
          <w:tcPr>
            <w:tcW w:w="1584" w:type="dxa"/>
          </w:tcPr>
          <w:p w14:paraId="46E7A42C" w14:textId="77777777" w:rsidR="00DC3D58" w:rsidRDefault="00000000">
            <w:pPr>
              <w:pStyle w:val="Compact"/>
            </w:pPr>
            <w:r>
              <w:t>—</w:t>
            </w:r>
          </w:p>
        </w:tc>
        <w:tc>
          <w:tcPr>
            <w:tcW w:w="1584" w:type="dxa"/>
          </w:tcPr>
          <w:p w14:paraId="3F91FF01" w14:textId="77777777" w:rsidR="00DC3D58" w:rsidRDefault="00000000">
            <w:pPr>
              <w:pStyle w:val="Compact"/>
            </w:pPr>
            <w:r>
              <w:t>100</w:t>
            </w:r>
          </w:p>
        </w:tc>
        <w:tc>
          <w:tcPr>
            <w:tcW w:w="1584" w:type="dxa"/>
          </w:tcPr>
          <w:p w14:paraId="5EF0AD17" w14:textId="77777777" w:rsidR="00DC3D58" w:rsidRDefault="00000000">
            <w:pPr>
              <w:pStyle w:val="Compact"/>
            </w:pPr>
            <w:r>
              <w:t>6</w:t>
            </w:r>
          </w:p>
        </w:tc>
        <w:tc>
          <w:tcPr>
            <w:tcW w:w="1584" w:type="dxa"/>
          </w:tcPr>
          <w:p w14:paraId="522D427E" w14:textId="77777777" w:rsidR="00DC3D58" w:rsidRDefault="00000000">
            <w:pPr>
              <w:pStyle w:val="Compact"/>
            </w:pPr>
            <w:r>
              <w:t>If &lt; 10 sites in 200 km</w:t>
            </w:r>
          </w:p>
        </w:tc>
      </w:tr>
    </w:tbl>
    <w:p w14:paraId="57966661" w14:textId="77777777" w:rsidR="00DC3D58" w:rsidRDefault="00000000">
      <w:r>
        <w:pict w14:anchorId="6C762A3B">
          <v:rect id="_x0000_i1040" style="width:0;height:1.5pt" o:hralign="center" o:hrstd="t" o:hr="t"/>
        </w:pict>
      </w:r>
    </w:p>
    <w:p w14:paraId="3FE284DC" w14:textId="77777777" w:rsidR="00DC3D58" w:rsidRDefault="00000000">
      <w:pPr>
        <w:pStyle w:val="Heading2"/>
      </w:pPr>
      <w:bookmarkStart w:id="22" w:name="questions-for-reviewer"/>
      <w:bookmarkEnd w:id="21"/>
      <w:r>
        <w:t>Questions for Reviewer</w:t>
      </w:r>
    </w:p>
    <w:p w14:paraId="700FBBCB" w14:textId="77777777" w:rsidR="00DC3D58" w:rsidRDefault="00000000">
      <w:pPr>
        <w:pStyle w:val="FirstParagraph"/>
      </w:pPr>
      <w:r>
        <w:t>Please evaluate whether the following choices are appropriate, or flag any misunderstandings:</w:t>
      </w:r>
    </w:p>
    <w:p w14:paraId="26A44CB7" w14:textId="77777777" w:rsidR="00DC3D58" w:rsidRDefault="00000000">
      <w:pPr>
        <w:pStyle w:val="Compact"/>
        <w:numPr>
          <w:ilvl w:val="0"/>
          <w:numId w:val="10"/>
        </w:numPr>
      </w:pPr>
      <w:r>
        <w:rPr>
          <w:b/>
          <w:bCs/>
        </w:rPr>
        <w:lastRenderedPageBreak/>
        <w:t>Dual scaler design</w:t>
      </w:r>
      <w:r>
        <w:t xml:space="preserve"> — Is it correct that benchmark selection uses predicted reference values while scoring uses departure values, each with an independently fit </w:t>
      </w:r>
      <w:r>
        <w:rPr>
          <w:rStyle w:val="VerbatimChar"/>
        </w:rPr>
        <w:t>StandardScaler</w:t>
      </w:r>
      <w:r>
        <w:t>?</w:t>
      </w:r>
    </w:p>
    <w:p w14:paraId="081FC69A" w14:textId="77777777" w:rsidR="00DC3D58" w:rsidRDefault="00000000">
      <w:pPr>
        <w:pStyle w:val="Compact"/>
        <w:numPr>
          <w:ilvl w:val="0"/>
          <w:numId w:val="10"/>
        </w:numPr>
      </w:pPr>
      <w:r>
        <w:rPr>
          <w:b/>
          <w:bCs/>
        </w:rPr>
        <w:t>Per-pair vs. centroid departure</w:t>
      </w:r>
      <w:r>
        <w:t xml:space="preserve"> (Step 11b) — The code computes Manhattan distance from the test site to each benchmark individually and then averages. Is this the intended behaviour, or should a centroid approach be used?</w:t>
      </w:r>
    </w:p>
    <w:p w14:paraId="4612A550" w14:textId="77777777" w:rsidR="00DC3D58" w:rsidRDefault="00000000">
      <w:pPr>
        <w:pStyle w:val="Compact"/>
        <w:numPr>
          <w:ilvl w:val="0"/>
          <w:numId w:val="10"/>
        </w:numPr>
      </w:pPr>
      <w:r>
        <w:rPr>
          <w:b/>
          <w:bCs/>
        </w:rPr>
        <w:t>Background density scope</w:t>
      </w:r>
      <w:r>
        <w:t xml:space="preserve"> (1,000 km) vs. inclusion zone (200 km) — The background density is sampled at a much wider geographic scale than the per-site inclusion zone. Is this intentional?</w:t>
      </w:r>
    </w:p>
    <w:p w14:paraId="545CBDB6" w14:textId="77777777" w:rsidR="00DC3D58" w:rsidRDefault="00000000">
      <w:pPr>
        <w:pStyle w:val="Compact"/>
        <w:numPr>
          <w:ilvl w:val="0"/>
          <w:numId w:val="10"/>
        </w:numPr>
      </w:pPr>
      <w:r>
        <w:rPr>
          <w:b/>
          <w:bCs/>
        </w:rPr>
        <w:t>Departure threshold of 2.0</w:t>
      </w:r>
      <w:r>
        <w:t xml:space="preserve"> — Is this an appropriate mapping threshold for standardized Manhattan distance across 3 indices?</w:t>
      </w:r>
    </w:p>
    <w:p w14:paraId="04E6CC2F" w14:textId="77777777" w:rsidR="00DC3D58" w:rsidRDefault="00000000">
      <w:pPr>
        <w:pStyle w:val="Compact"/>
        <w:numPr>
          <w:ilvl w:val="0"/>
          <w:numId w:val="10"/>
        </w:numPr>
      </w:pPr>
      <w:r>
        <w:rPr>
          <w:b/>
          <w:bCs/>
        </w:rPr>
        <w:t>Calibration anchors (0.101, 0.944)</w:t>
      </w:r>
      <w:r>
        <w:t xml:space="preserve"> — Where do these specific values originate? Are they derived from field validation or expert judgement?</w:t>
      </w:r>
    </w:p>
    <w:p w14:paraId="2533CB1E" w14:textId="77777777" w:rsidR="00DC3D58" w:rsidRDefault="00000000">
      <w:pPr>
        <w:pStyle w:val="Compact"/>
        <w:numPr>
          <w:ilvl w:val="0"/>
          <w:numId w:val="10"/>
        </w:numPr>
      </w:pPr>
      <w:r>
        <w:rPr>
          <w:b/>
          <w:bCs/>
        </w:rPr>
        <w:t>Missing values filled with 0</w:t>
      </w:r>
      <w:r>
        <w:t xml:space="preserve"> — Before standardization, </w:t>
      </w:r>
      <w:r>
        <w:rPr>
          <w:rStyle w:val="VerbatimChar"/>
        </w:rPr>
        <w:t>fillna(0)</w:t>
      </w:r>
      <w:r>
        <w:t xml:space="preserve"> is applied to both feature sets. Is zero-fill appropriate, or should these rows be excluded?</w:t>
      </w:r>
    </w:p>
    <w:p w14:paraId="4F03FF89" w14:textId="77777777" w:rsidR="00DC3D58" w:rsidRDefault="00000000">
      <w:pPr>
        <w:pStyle w:val="Compact"/>
        <w:numPr>
          <w:ilvl w:val="0"/>
          <w:numId w:val="10"/>
        </w:numPr>
      </w:pPr>
      <w:r>
        <w:rPr>
          <w:b/>
          <w:bCs/>
        </w:rPr>
        <w:t>Spatial fallback (k=100)</w:t>
      </w:r>
      <w:r>
        <w:t xml:space="preserve"> — When fewer than 10 reference sites exist within 200 km, the code retrieves the 100 nearest reference sites globally. Is this fallback acceptable, or should it use a different strategy (e.g., expanding the radius incrementally)?</w:t>
      </w:r>
      <w:bookmarkEnd w:id="0"/>
      <w:bookmarkEnd w:id="22"/>
    </w:p>
    <w:sectPr w:rsidR="00DC3D5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6EE4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28D2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B48CE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7DEC653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711"/>
    <w:multiLevelType w:val="multilevel"/>
    <w:tmpl w:val="B3E847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416823815">
    <w:abstractNumId w:val="0"/>
  </w:num>
  <w:num w:numId="2" w16cid:durableId="1965429397">
    <w:abstractNumId w:val="1"/>
  </w:num>
  <w:num w:numId="3" w16cid:durableId="1664048651">
    <w:abstractNumId w:val="1"/>
  </w:num>
  <w:num w:numId="4" w16cid:durableId="1943537099">
    <w:abstractNumId w:val="1"/>
  </w:num>
  <w:num w:numId="5" w16cid:durableId="743449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724715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41217246">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2068412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0467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7216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C3D58"/>
    <w:rsid w:val="00766BC5"/>
    <w:rsid w:val="00DC3D58"/>
    <w:rsid w:val="00E723CC"/>
    <w:rsid w:val="00FB5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2E6EE"/>
  <w15:docId w15:val="{3A89BC0E-1E99-47C3-94A1-4A76023BD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1859</Words>
  <Characters>10601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Singh, G, Dr [gsingh@sun.ac.za]</cp:lastModifiedBy>
  <cp:revision>2</cp:revision>
  <dcterms:created xsi:type="dcterms:W3CDTF">2026-02-18T10:52:00Z</dcterms:created>
  <dcterms:modified xsi:type="dcterms:W3CDTF">2026-02-18T11:05:00Z</dcterms:modified>
</cp:coreProperties>
</file>