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600C" w14:textId="78862A23" w:rsidR="00523284" w:rsidRDefault="00000000">
      <w:pPr>
        <w:pStyle w:val="Heading1"/>
      </w:pPr>
      <w:r>
        <w:t xml:space="preserve">Figure </w:t>
      </w:r>
      <w:r w:rsidR="00DD4C1C">
        <w:t xml:space="preserve">1 </w:t>
      </w:r>
      <w:proofErr w:type="gramStart"/>
      <w:r w:rsidR="00DD4C1C">
        <w:t>|</w:t>
      </w:r>
      <w:r>
        <w:t xml:space="preserve">  Design</w:t>
      </w:r>
      <w:proofErr w:type="gramEnd"/>
      <w:r>
        <w:t>-based area estimates</w:t>
      </w:r>
    </w:p>
    <w:p w14:paraId="564F6F32" w14:textId="77777777" w:rsidR="00523284" w:rsidRDefault="0000000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EC8FE74" wp14:editId="1FD67B50">
            <wp:extent cx="5897880" cy="2292559"/>
            <wp:effectExtent l="0" t="0" r="0" b="0"/>
            <wp:docPr id="1" name="Picture 1" descr="Two-panel figure showing design-based thicket-condition area estimates overall and by ecosystem type, with 95 percent confidence intervals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area_estima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9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ABE7" w14:textId="1043F767" w:rsidR="00523284" w:rsidRDefault="00000000">
      <w:pPr>
        <w:pStyle w:val="PublicationCaption"/>
      </w:pPr>
      <w:r>
        <w:rPr>
          <w:b/>
        </w:rPr>
        <w:t xml:space="preserve">Figure 1 | Design-based area estimates for thicket condition and ecosystem type. a, </w:t>
      </w:r>
      <w:r>
        <w:t xml:space="preserve">Total mapped area in each reference-condition class; parenthetical values give the corresponding 95% confidence interval as a percentage of the mapped domain. </w:t>
      </w:r>
      <w:r>
        <w:rPr>
          <w:b/>
        </w:rPr>
        <w:t xml:space="preserve">b, </w:t>
      </w:r>
      <w:r>
        <w:t xml:space="preserve">Reference-condition area within Arid, Valley and Mesic thicket. Points show stratified design-based estimates and horizontal bars show 95% confidence intervals calculated following the Olofsson estimator. At all locations with two </w:t>
      </w:r>
      <w:r w:rsidR="00A31D4A">
        <w:t>conflicting</w:t>
      </w:r>
      <w:r>
        <w:t xml:space="preserve"> labels (n = </w:t>
      </w:r>
      <w:r w:rsidR="00A31D4A">
        <w:t>35 of 92</w:t>
      </w:r>
      <w:r>
        <w:t xml:space="preserve">), one submitted source label was selected </w:t>
      </w:r>
      <w:r w:rsidR="00A31D4A">
        <w:t>randomly</w:t>
      </w:r>
      <w:r>
        <w:t xml:space="preserve">; unsure labels were ineligible, and locations with no determinate label (n = 25) were excluded. Reference observations labelled as no thicket were grouped with the severe class. The reference sample comprised 821 independently labelled points (Arid, </w:t>
      </w:r>
      <w:r>
        <w:rPr>
          <w:i/>
        </w:rPr>
        <w:t>n</w:t>
      </w:r>
      <w:r>
        <w:t xml:space="preserve"> = 315; Valley, </w:t>
      </w:r>
      <w:r>
        <w:rPr>
          <w:i/>
        </w:rPr>
        <w:t>n</w:t>
      </w:r>
      <w:r>
        <w:t xml:space="preserve"> = 385; Mesic, </w:t>
      </w:r>
      <w:r>
        <w:rPr>
          <w:i/>
        </w:rPr>
        <w:t>n</w:t>
      </w:r>
      <w:r>
        <w:t xml:space="preserve"> = 121) across a mapped domain of 1,898,600 ha.</w:t>
      </w:r>
    </w:p>
    <w:p w14:paraId="30F4957C" w14:textId="77777777" w:rsidR="00523284" w:rsidRDefault="00000000">
      <w:r>
        <w:br w:type="page"/>
      </w:r>
    </w:p>
    <w:p w14:paraId="32178459" w14:textId="77777777" w:rsidR="00523284" w:rsidRDefault="00000000">
      <w:pPr>
        <w:pStyle w:val="Heading1"/>
      </w:pPr>
      <w:r>
        <w:lastRenderedPageBreak/>
        <w:t>Figure 2  |  Map accuracy</w:t>
      </w:r>
    </w:p>
    <w:p w14:paraId="4B3D1D0D" w14:textId="77777777" w:rsidR="00523284" w:rsidRDefault="0000000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245775F" wp14:editId="3E0119AE">
            <wp:extent cx="5257800" cy="2101810"/>
            <wp:effectExtent l="0" t="0" r="0" b="0"/>
            <wp:docPr id="2" name="Picture 2" descr="Accuracy table showing confusion-matrix counts and area-adjusted user's, producer's and overall accuracy with 95 percent confidence intervals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accuracy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69F2" w14:textId="46CB9678" w:rsidR="00523284" w:rsidRDefault="00000000">
      <w:pPr>
        <w:pStyle w:val="PublicationCaption"/>
      </w:pPr>
      <w:r>
        <w:rPr>
          <w:b/>
        </w:rPr>
        <w:t xml:space="preserve">Figure 2 | Design-based accuracy of the three-class thicket-condition map. </w:t>
      </w:r>
      <w:r>
        <w:t xml:space="preserve">Rows represent mapped classes and columns represent reference classes. Confusion-matrix cells and </w:t>
      </w:r>
      <w:r>
        <w:rPr>
          <w:i/>
        </w:rPr>
        <w:t>n</w:t>
      </w:r>
      <w:r>
        <w:t xml:space="preserve"> values are unweighted reference-point counts; user's, producer's and overall accuracies are area-adjusted design-based estimates. Accuracy values are percentages, with 95% confidence intervals in parentheses. At all locations with two determinate labels (n = </w:t>
      </w:r>
      <w:r w:rsidR="00DD4C1C">
        <w:t>35</w:t>
      </w:r>
      <w:r>
        <w:t xml:space="preserve">), one submitted source label was selected </w:t>
      </w:r>
      <w:r w:rsidR="00DD4C1C">
        <w:t>randomly</w:t>
      </w:r>
      <w:r>
        <w:t>; unsure labels were ineligible, and locations with no determinate label (n = 25) were excluded. Reference observations labelled as no thicket were grouped with the severe class. Estimates use 821 independently labelled reference points.</w:t>
      </w:r>
    </w:p>
    <w:p w14:paraId="793D23CE" w14:textId="77777777" w:rsidR="00523284" w:rsidRDefault="00000000">
      <w:r>
        <w:br w:type="page"/>
      </w:r>
    </w:p>
    <w:p w14:paraId="39938D33" w14:textId="77777777" w:rsidR="00523284" w:rsidRDefault="00000000">
      <w:pPr>
        <w:pStyle w:val="Heading1"/>
      </w:pPr>
      <w:r>
        <w:lastRenderedPageBreak/>
        <w:t>Figure 3  |  Single- versus multi-layer intact-class scores</w:t>
      </w:r>
    </w:p>
    <w:p w14:paraId="6C9CB591" w14:textId="77777777" w:rsidR="00523284" w:rsidRDefault="0000000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B42FB75" wp14:editId="63B5A0C7">
            <wp:extent cx="5897880" cy="2308934"/>
            <wp:effectExtent l="0" t="0" r="0" b="0"/>
            <wp:docPr id="3" name="Picture 3" descr="Two-panel figure comparing held-out intact-class performance for fixed multi-layer scores and symbolic-regression expressions against the intact-probability baseline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symbolic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0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65EC" w14:textId="74D773A0" w:rsidR="00523284" w:rsidRDefault="00000000">
      <w:pPr>
        <w:pStyle w:val="PublicationCaption"/>
      </w:pPr>
      <w:r>
        <w:rPr>
          <w:b/>
        </w:rPr>
        <w:t xml:space="preserve">Figure 3 | Held-out evaluation of single- and multi-layer intact-class scores. a, </w:t>
      </w:r>
      <w:r>
        <w:t xml:space="preserve">Difference in held-out intact-class </w:t>
      </w:r>
      <w:r>
        <w:rPr>
          <w:i/>
        </w:rPr>
        <w:t>F</w:t>
      </w:r>
      <w:r>
        <w:rPr>
          <w:vertAlign w:val="subscript"/>
        </w:rPr>
        <w:t>1</w:t>
      </w:r>
      <w:r>
        <w:t xml:space="preserve"> between each fixed multi-layer score and the </w:t>
      </w:r>
      <w:r>
        <w:rPr>
          <w:i/>
        </w:rPr>
        <w:t>p</w:t>
      </w:r>
      <w:r>
        <w:rPr>
          <w:vertAlign w:val="subscript"/>
        </w:rPr>
        <w:t>intact</w:t>
      </w:r>
      <w:r>
        <w:t xml:space="preserve"> baseline. Points show observed differences and horizontal bars show percentile 95% confidence intervals from 10,000 paired bootstrap resamples of the 27 held-out 0.2° spatial blocks (</w:t>
      </w:r>
      <w:r>
        <w:rPr>
          <w:i/>
        </w:rPr>
        <w:t>n</w:t>
      </w:r>
      <w:r>
        <w:t xml:space="preserve"> = 704 observations). The vertical line denotes no difference; all displayed intervals include zero. Rule thresholds were selected using the training folds only (</w:t>
      </w:r>
      <w:r>
        <w:rPr>
          <w:i/>
        </w:rPr>
        <w:t>n</w:t>
      </w:r>
      <w:r>
        <w:t xml:space="preserve"> = 1,379). </w:t>
      </w:r>
      <w:r>
        <w:rPr>
          <w:b/>
        </w:rPr>
        <w:t xml:space="preserve">b, </w:t>
      </w:r>
      <w:r>
        <w:t xml:space="preserve">Held-out </w:t>
      </w:r>
      <w:r>
        <w:rPr>
          <w:i/>
        </w:rPr>
        <w:t>F</w:t>
      </w:r>
      <w:r>
        <w:rPr>
          <w:vertAlign w:val="subscript"/>
        </w:rPr>
        <w:t>1</w:t>
      </w:r>
      <w:r>
        <w:t xml:space="preserve"> for every expression on the PySR training-loss/complexity front. Circles denote expressions containing </w:t>
      </w:r>
      <w:r>
        <w:rPr>
          <w:i/>
        </w:rPr>
        <w:t>p</w:t>
      </w:r>
      <w:r>
        <w:rPr>
          <w:vertAlign w:val="subscript"/>
        </w:rPr>
        <w:t>i</w:t>
      </w:r>
      <w:r>
        <w:t xml:space="preserve"> only and triangles denote expressions that additionally contain </w:t>
      </w:r>
      <w:r>
        <w:rPr>
          <w:i/>
        </w:rPr>
        <w:t>p</w:t>
      </w:r>
      <w:r>
        <w:rPr>
          <w:vertAlign w:val="subscript"/>
        </w:rPr>
        <w:t>m</w:t>
      </w:r>
      <w:r>
        <w:t xml:space="preserve"> or </w:t>
      </w:r>
      <w:r>
        <w:rPr>
          <w:i/>
        </w:rPr>
        <w:t>p</w:t>
      </w:r>
      <w:r>
        <w:rPr>
          <w:vertAlign w:val="subscript"/>
        </w:rPr>
        <w:t>s</w:t>
      </w:r>
      <w:r>
        <w:t xml:space="preserve">; the horizontal line is the </w:t>
      </w:r>
      <w:r>
        <w:rPr>
          <w:i/>
        </w:rPr>
        <w:t>p</w:t>
      </w:r>
      <w:r>
        <w:rPr>
          <w:vertAlign w:val="subscript"/>
        </w:rPr>
        <w:t>i</w:t>
      </w:r>
      <w:r>
        <w:t xml:space="preserve"> baseline. Here </w:t>
      </w:r>
      <w:r>
        <w:rPr>
          <w:i/>
        </w:rPr>
        <w:t>p</w:t>
      </w:r>
      <w:r>
        <w:rPr>
          <w:vertAlign w:val="subscript"/>
        </w:rPr>
        <w:t>i</w:t>
      </w:r>
      <w:r>
        <w:t xml:space="preserve">, </w:t>
      </w:r>
      <w:r>
        <w:rPr>
          <w:i/>
        </w:rPr>
        <w:t>p</w:t>
      </w:r>
      <w:r>
        <w:rPr>
          <w:vertAlign w:val="subscript"/>
        </w:rPr>
        <w:t>m</w:t>
      </w:r>
      <w:r>
        <w:t xml:space="preserve"> and </w:t>
      </w:r>
      <w:r>
        <w:rPr>
          <w:i/>
        </w:rPr>
        <w:t>p</w:t>
      </w:r>
      <w:r>
        <w:rPr>
          <w:vertAlign w:val="subscript"/>
        </w:rPr>
        <w:t>s</w:t>
      </w:r>
      <w:r>
        <w:t xml:space="preserve"> are the intact, moderate and severe Random Forest probability layers.</w:t>
      </w:r>
    </w:p>
    <w:sectPr w:rsidR="00523284" w:rsidSect="00034616"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A2AFD" w14:textId="77777777" w:rsidR="009B30E7" w:rsidRDefault="009B30E7">
      <w:pPr>
        <w:spacing w:after="0" w:line="240" w:lineRule="auto"/>
      </w:pPr>
      <w:r>
        <w:separator/>
      </w:r>
    </w:p>
  </w:endnote>
  <w:endnote w:type="continuationSeparator" w:id="0">
    <w:p w14:paraId="2EA48CA3" w14:textId="77777777" w:rsidR="009B30E7" w:rsidRDefault="009B3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847B5" w14:textId="77777777" w:rsidR="00523284" w:rsidRDefault="00000000">
    <w:pPr>
      <w:pStyle w:val="Footer"/>
      <w:jc w:val="right"/>
    </w:pPr>
    <w:r>
      <w:rPr>
        <w:color w:val="5A6268"/>
        <w:sz w:val="16"/>
      </w:rPr>
      <w:fldChar w:fldCharType="begin"/>
    </w:r>
    <w:r>
      <w:rPr>
        <w:color w:val="5A6268"/>
        <w:sz w:val="16"/>
      </w:rPr>
      <w:instrText xml:space="preserve"> PAGE </w:instrText>
    </w:r>
    <w:r>
      <w:rPr>
        <w:color w:val="5A6268"/>
        <w:sz w:val="16"/>
      </w:rPr>
      <w:fldChar w:fldCharType="separate"/>
    </w:r>
    <w:r>
      <w:rPr>
        <w:color w:val="5A6268"/>
        <w:sz w:val="16"/>
      </w:rPr>
      <w:t>1</w:t>
    </w:r>
    <w:r>
      <w:rPr>
        <w:color w:val="5A6268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9CCE4" w14:textId="77777777" w:rsidR="00523284" w:rsidRDefault="00000000">
    <w:pPr>
      <w:pStyle w:val="Footer"/>
      <w:jc w:val="right"/>
    </w:pPr>
    <w:r>
      <w:rPr>
        <w:color w:val="5A6268"/>
        <w:sz w:val="16"/>
      </w:rPr>
      <w:fldChar w:fldCharType="begin"/>
    </w:r>
    <w:r>
      <w:rPr>
        <w:color w:val="5A6268"/>
        <w:sz w:val="16"/>
      </w:rPr>
      <w:instrText xml:space="preserve"> PAGE </w:instrText>
    </w:r>
    <w:r>
      <w:rPr>
        <w:color w:val="5A6268"/>
        <w:sz w:val="16"/>
      </w:rPr>
      <w:fldChar w:fldCharType="separate"/>
    </w:r>
    <w:r>
      <w:rPr>
        <w:color w:val="5A6268"/>
        <w:sz w:val="16"/>
      </w:rPr>
      <w:t>1</w:t>
    </w:r>
    <w:r>
      <w:rPr>
        <w:color w:val="5A6268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895B9" w14:textId="77777777" w:rsidR="00523284" w:rsidRDefault="00000000">
    <w:pPr>
      <w:pStyle w:val="Footer"/>
      <w:jc w:val="right"/>
    </w:pPr>
    <w:r>
      <w:rPr>
        <w:color w:val="5A6268"/>
        <w:sz w:val="16"/>
      </w:rPr>
      <w:fldChar w:fldCharType="begin"/>
    </w:r>
    <w:r>
      <w:rPr>
        <w:color w:val="5A6268"/>
        <w:sz w:val="16"/>
      </w:rPr>
      <w:instrText xml:space="preserve"> PAGE </w:instrText>
    </w:r>
    <w:r>
      <w:rPr>
        <w:color w:val="5A6268"/>
        <w:sz w:val="16"/>
      </w:rPr>
      <w:fldChar w:fldCharType="separate"/>
    </w:r>
    <w:r>
      <w:rPr>
        <w:color w:val="5A6268"/>
        <w:sz w:val="16"/>
      </w:rPr>
      <w:t>1</w:t>
    </w:r>
    <w:r>
      <w:rPr>
        <w:color w:val="5A626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07699" w14:textId="77777777" w:rsidR="009B30E7" w:rsidRDefault="009B30E7">
      <w:pPr>
        <w:spacing w:after="0" w:line="240" w:lineRule="auto"/>
      </w:pPr>
      <w:r>
        <w:separator/>
      </w:r>
    </w:p>
  </w:footnote>
  <w:footnote w:type="continuationSeparator" w:id="0">
    <w:p w14:paraId="1BB064FA" w14:textId="77777777" w:rsidR="009B30E7" w:rsidRDefault="009B3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ED292" w14:textId="77777777" w:rsidR="00523284" w:rsidRDefault="00000000">
    <w:pPr>
      <w:pStyle w:val="Header"/>
    </w:pPr>
    <w:r>
      <w:rPr>
        <w:b/>
        <w:color w:val="5A6268"/>
        <w:sz w:val="16"/>
      </w:rPr>
      <w:t xml:space="preserve">THICKET CONDITION </w:t>
    </w:r>
    <w:proofErr w:type="gramStart"/>
    <w:r>
      <w:rPr>
        <w:b/>
        <w:color w:val="5A6268"/>
        <w:sz w:val="16"/>
      </w:rPr>
      <w:t>MAPPING  |</w:t>
    </w:r>
    <w:proofErr w:type="gramEnd"/>
    <w:r>
      <w:rPr>
        <w:b/>
        <w:color w:val="5A6268"/>
        <w:sz w:val="16"/>
      </w:rPr>
      <w:t xml:space="preserve">  LEAD-AUTHOR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892739">
    <w:abstractNumId w:val="8"/>
  </w:num>
  <w:num w:numId="2" w16cid:durableId="1831166420">
    <w:abstractNumId w:val="6"/>
  </w:num>
  <w:num w:numId="3" w16cid:durableId="2084519980">
    <w:abstractNumId w:val="5"/>
  </w:num>
  <w:num w:numId="4" w16cid:durableId="96289078">
    <w:abstractNumId w:val="4"/>
  </w:num>
  <w:num w:numId="5" w16cid:durableId="362559946">
    <w:abstractNumId w:val="7"/>
  </w:num>
  <w:num w:numId="6" w16cid:durableId="2108846929">
    <w:abstractNumId w:val="3"/>
  </w:num>
  <w:num w:numId="7" w16cid:durableId="1387293227">
    <w:abstractNumId w:val="2"/>
  </w:num>
  <w:num w:numId="8" w16cid:durableId="1586257871">
    <w:abstractNumId w:val="1"/>
  </w:num>
  <w:num w:numId="9" w16cid:durableId="206459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F6A"/>
    <w:rsid w:val="00523284"/>
    <w:rsid w:val="009B30E7"/>
    <w:rsid w:val="00A31D4A"/>
    <w:rsid w:val="00A97177"/>
    <w:rsid w:val="00AA1D8D"/>
    <w:rsid w:val="00B47730"/>
    <w:rsid w:val="00CB0664"/>
    <w:rsid w:val="00DD4C1C"/>
    <w:rsid w:val="00E72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0DCA8"/>
  <w14:defaultImageDpi w14:val="300"/>
  <w15:docId w15:val="{8E9ABAD6-47F7-4881-8BFA-3F3383E2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4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ationCaption">
    <w:name w:val="Publication Caption"/>
    <w:pPr>
      <w:keepLines/>
      <w:spacing w:before="100" w:after="0" w:line="240" w:lineRule="auto"/>
      <w:jc w:val="both"/>
    </w:pPr>
    <w:rPr>
      <w:rFonts w:ascii="Arial" w:hAnsi="Arial"/>
      <w:color w:val="20242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Publication figure review packet</vt:lpstr>
    </vt:vector>
  </TitlesOfParts>
  <Manager/>
  <Company/>
  <LinksUpToDate>false</LinksUpToDate>
  <CharactersWithSpaces>2605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Publication figure review packet</dc:title>
  <dc:subject>Figures and captions for lead-author review</dc:subject>
  <dc:creator>Thicket condition mapping team</dc:creator>
  <cp:keywords>publication figures; area estimates; accuracy; symbolic regression</cp:keywords>
  <dc:description>generated by python-docx</dc:description>
  <cp:lastModifiedBy>Geethen Singh</cp:lastModifiedBy>
  <cp:revision>3</cp:revision>
  <dcterms:created xsi:type="dcterms:W3CDTF">2013-12-23T23:15:00Z</dcterms:created>
  <dcterms:modified xsi:type="dcterms:W3CDTF">2026-08-06T14:05:00Z</dcterms:modified>
  <cp:category/>
</cp:coreProperties>
</file>