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        </w:t>
      </w:r>
      <w:r w:rsidDel="00000000" w:rsidR="00000000" w:rsidRPr="00000000">
        <w:rPr>
          <w:b w:val="1"/>
          <w:color w:val="1d2125"/>
          <w:sz w:val="32"/>
          <w:szCs w:val="32"/>
          <w:highlight w:val="white"/>
          <w:rtl w:val="0"/>
        </w:rPr>
        <w:t xml:space="preserve">Protótipos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5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Versão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1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apresenta os protótipos desenvolvidos para as telas que serão implementadas no sistema Correio Web, abrangendo, no mínimo, uma funcionalidade de CRUD e a operação principal. Os protótipos têm como objetivo fornecer uma visão da interface do usuário antes da implementação.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Protótipos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seguir, são apresentados os protótipos desenvolvidos para o sistema Correio Web. Estes protótipos ilustram as telas, proporcionando uma visão detalhada do design e da funcionalidade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6sz3gjqnp78i" w:id="2"/>
      <w:bookmarkEnd w:id="2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97hyicl1ismv" w:id="3"/>
      <w:bookmarkEnd w:id="3"/>
      <w:r w:rsidDel="00000000" w:rsidR="00000000" w:rsidRPr="00000000">
        <w:rPr>
          <w:rtl w:val="0"/>
        </w:rPr>
        <w:t xml:space="preserve">Caixa de entrada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line="240" w:lineRule="auto"/>
        <w:ind w:left="1440" w:right="0" w:hanging="360"/>
        <w:jc w:val="both"/>
        <w:rPr/>
      </w:pPr>
      <w:bookmarkStart w:colFirst="0" w:colLast="0" w:name="_heading=h.5dyevnp57yqn" w:id="4"/>
      <w:bookmarkEnd w:id="4"/>
      <w:r w:rsidDel="00000000" w:rsidR="00000000" w:rsidRPr="00000000">
        <w:rPr>
          <w:rtl w:val="0"/>
        </w:rPr>
        <w:t xml:space="preserve">Escrever um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976.377952755906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3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   Faculdade de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morBUC9kB+gpEASOLr9K9bE3g==">CgMxLjAyCWguMzBqMHpsbDIJaC4xZm9iOXRlMg5oLjZzejNnanFucDc4aTIOaC45N2h5aWNsMWlzbXYyDmguNWR5ZXZucDU3eXFuOAByITFvejRrQmU3cUgwbDVGWGhKVE1EZ2FWT0t3VUd5MElUOQ==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