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🧬  NEXUS CORE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Motor Clínico e Orquestrador Cibernético de Carga de Treinamento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Técnico — Versão 2.0  |  Revisado com Literatura Científica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D6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RESUMO DO SISTEMA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Nexus Core é um sistema de individualização extrema do treinamento físico via engenharia de software e ciência de dados. Opera como orquestrador de três domínios fisiológicos simultaneamente: (1) o lado mecânico, quantificando estresse de treinamento via métricas validadas pela literatura; (2) o lado químico, modelando a farmacocinética de compostos administrados; e (3) a validação fisiológica objetiva, por meio de um painel expandido de biomarcadores sanguíneos fundamentado em revisões sistemáticas recentes. A viabilidade do conceito é suportada pela literatura de medicina esportiva e endocrinologia do exercício, que demonstra que nenhum biomarcador isolado é suficiente para decisão clínica — a integração de painéis multi-domínio é o padrão-ouro emergente.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Índice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Arquitetura e Modelagem de Dados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O Motor Matemático (Cálculos)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Painel Expandido de Biomarcadores — Fundamentação Científica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3.1  Dano Muscular e Inflamação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3.2  Eixo Hormonal Anabólico/Catabólico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3.3  Status Hematológico e Capacidade Aeróbica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3.4  Marcadores Metabólicos e Nutricionais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3.5  Biomarcadores Emergentes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Integração Clínica: Biomarcadores como Critério de Dose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Pipeline de IA e Tratamento de Viéses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Fluxo Automatizado e Parser (WhatsApp)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 Avaliação de Viabilidade e Posicionamento no Mercado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 Instruções para Deploy Local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Arquitetura e Modelagem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base de dados (PostgreSQL) unifica o corpo humano em um estado contínuo de entrada (inputs) e saída (outputs), tratando patologias como restrições móveis e não como silos isolados. A versão 2.0 expande o schema para acomodar o painel completo de biomarcadores descrito na seção 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Estrutura Relacional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biométricos estáticos e histórico base.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dob, sex, height_cm, weight_kg, sport_modality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user_conditions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 temporal de patologias. Armazena Constraints dinâmicas.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condition_name, constraint_type, constraint_value, active_from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pharmacology_logs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Registros de administração química com suporte farmacocinético.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substance_name, dosage_mg, administration_date, half_life_hours, route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training_sessions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mecânico. JSONB para flexibilidade entre modalidades.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total_tonnage, inol_score, acwr_ratio, session_rpe, modality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biomarker_logs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fisiológica expandida via exames de sangue.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draw_date, panel_type, results_jsonb, hydration_checklist_ok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biomarker_reference_ranges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Intervalos de referência por user_id, sexo e faixa etária.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biomarker_name, user_id, lower_ref, upper_ref, source_literature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ergogenic_logs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uso de recursos ergogênicos nutricionais.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substance, dose_g, timing, batch_tested_bool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2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Design-decision: O payload JSONB do biomarker_logs usa um schema validado por JSON Schema Draft-07 para garantir integridade sem sacrificar a flexibilidade de adicionar novos marcadores sem migração de schema. Exemplo: {"CPK_UL": 350, "Testosterone_ngdL": 520, "Cortisol_ugdL": 18, "TstCortRatio": 0.029, "Ferritin_ngmL": 42, "VitD_ngmL": 31}.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O Motor Matemático (Cálculos)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backend realiza a conversão da biologia em dados matemáticos puros. Abaixo estão as fórmulas validadas na literatura, com suas respectivas fontes e limiares de alerta de negócio.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A. O Lado Físico (Treinamento)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Volume Load (Tonagem): </w:t>
      </w:r>
      <w:r>
        <w:rPr>
          <w:rFonts w:ascii="Arial" w:cs="Arial" w:eastAsia="Arial" w:hAnsi="Arial"/>
          <w:sz w:val="22"/>
          <w:szCs w:val="22"/>
        </w:rPr>
        <w:t xml:space="preserve">Σ (Séries × Repetições × Carga em kg). Referência primária: Haff &amp; Triplett (2015) — NSCA's Essentials of Strength Training.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ACWR (Acute:Chronic Workload Ratio): </w:t>
      </w:r>
      <w:r>
        <w:rPr>
          <w:rFonts w:ascii="Arial" w:cs="Arial" w:eastAsia="Arial" w:hAnsi="Arial"/>
          <w:sz w:val="22"/>
          <w:szCs w:val="22"/>
        </w:rPr>
        <w:t xml:space="preserve">Carga da Semana Atual / Média de Carga das 4 Semanas Anteriores. 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 de negócio: ACWR &gt; 1.5 → alerta vermelho (risco exponencial de lesão por overreaching). ACWR &lt; 0.8 por 2+ semanas consecutivas → alerta amarelo (destreinamento).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literária: Gabbett (2016), British Journal of Sports Medicine — referência mais citada em carga de treinamento esportivo.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INOL (Índice de Fadiga Neural — Prilepin): </w:t>
      </w:r>
      <w:r>
        <w:rPr>
          <w:rFonts w:ascii="Arial" w:cs="Arial" w:eastAsia="Arial" w:hAnsi="Arial"/>
          <w:sz w:val="22"/>
          <w:szCs w:val="22"/>
        </w:rPr>
        <w:t xml:space="preserve">Reps / (100 - %1RM). Quantifica desgaste do SNC.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Limiar diário &gt; 1.0 por padrão de movimento → mitigação de volume automática.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Limiar semanal &gt; 2.0 por grupo muscular → sessão convertida para regenerativa.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B. O Lado Químico (Farmacocinética)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Modelagem do decaimento exponencial para prever concentração plasmática e alocar blocos de treino nas janelas de maior anabolismo: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2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C(t) = C₀ × (1/2)^(t / t½)
Onde: C(t) = Concentração atual | C₀ = Dose inicial (mg) | t = Tempo decorrido | t½ = Meia-vida (recalibrada por user_id via exames seriados)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janela de pico plasmático é cruzada com a prescrição de treino: blocos de força máxima (≥ 90% 1RM, INOL alto) são alocados nas janelas de concentração plasmática elevada; sessões de recuperação ativa são alocadas nas janelas de letargia medicamentosa.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Painel Expandido de Biomarcadores — Fundamentação Científica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literatura científica recente é unânime: </w:t>
      </w:r>
      <w:r>
        <w:rPr>
          <w:rFonts w:ascii="Arial" w:cs="Arial" w:eastAsia="Arial" w:hAnsi="Arial"/>
          <w:b/>
          <w:bCs/>
          <w:color w:val="9B2335"/>
          <w:sz w:val="22"/>
          <w:szCs w:val="22"/>
        </w:rPr>
        <w:t xml:space="preserve">nenhum biomarcador isolado é capaz de capturar com precisão e sensibilidade o estado de fadiga, recuperação ou resposta ao treinamento.</w:t>
      </w:r>
      <w:r>
        <w:rPr>
          <w:rFonts w:ascii="Arial" w:cs="Arial" w:eastAsia="Arial" w:hAnsi="Arial"/>
          <w:sz w:val="22"/>
          <w:szCs w:val="22"/>
        </w:rPr>
        <w:t xml:space="preserve"> Goldsmith et al. (2021, PMC5640004) e Pyne et al. (2019, Sports Medicine) documentam que a abordagem de painel multi-domínio — combinando marcadores de dano muscular, perfil hormonal, status hematológico e inflamação — é o modelo emergente no esporte de alto rendimento.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5B00" w:sz="4"/>
              <w:left w:val="single" w:color="C75B00" w:sz="12"/>
              <w:bottom w:val="single" w:color="C75B00" w:sz="1"/>
              <w:right w:val="single" w:color="C75B00" w:sz="1"/>
            </w:tcBorders>
            <w:shd w:fill="FDE8C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Princípio clínico fundamental: biomarcadores hormonais e de aminoácidos são altamente variáveis entre indivíduos. O monitoramento longitudinal com baseline personalizado por user_id supera os intervalos populacionais genéricos dos laboratórios clínicos. Recomendação da literatura: coletas a cada 4–6 semanas, em condições padronizadas (jejum, pré-treino, após dia de descanso).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Dano Muscular e Inflamação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30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Limiar Clínico / Regra de Negócio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(CK total)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à membrana muscular. Pico em 24–72h pós-treino.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&gt; 1000 U/L cronicamente = recuperação insuficiente → redução compulsória de volume.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Brancaccio et al., 2007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celular sistêmico (músculo + outros tecidos).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Elevação persistente sem pico de CPK correlato = investigar hepatotoxicidade se em uso de EAA.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Nunes et al., 2020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Mioglobina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Lise miofibrilar aguda. Pico em 1–3h pós-treino.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Mioglobina &gt; 1500 ng/mL → risco de lesão renal (rabdomiólise). Alerta crítico no sistema.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Urine myoglobin — ACSM Guidelines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PCR (hs-CRP)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Inflamação sistêmica de baixo grau.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hs-CRP cronicamente &gt; 3 mg/L = estado inflamatório que impede síntese proteica ótima. Indica revisão de carga ou farmacologia.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Fallon et al., 2001; Bird et al., 2013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IL-6 (Interleucina-6)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Miocina pró-inflamatória aguda + sinalizador de adaptação.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IL-6 aguda pós-treino = esperada. IL-6 basal elevada cronicamente = sobrecarga ou condição sistêmica.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Fischer, 2006 (PMID 16787938)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Eixo Hormonal Anabólico/Catabólico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domínio mais diretamente relacionado à dose de medicamentos/ergogênicos. A literatura é extensa e consistente: a razão Testosterona/Cortisol (T/C) é o marcador mais sensível de overreaching e overtraining disponível em sangue periférico.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1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Limiar Clínico / Regra de Negócio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Testosterona Total (T)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 anabólico. Síntese proteica, produção de glóbulos vermelhos, reposição de glicogênio.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&gt; 20% do baseline do atleta durante temporada → reduzir volume. Não usar valores populacionais.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PMC5640004 (Sports Medicine, 2019)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Cortisol (C)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Hormônio catabólico. Inibe síntese proteica, bloqueia receptor androgênico.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Cortisol basal cronicamente elevado = catabolismo sistêmico. Correlaciona com ACWR &gt; 1.5.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PMC11548435 (Systematic Review, 2024)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Razão T/C (Índice Anabólico)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Balanço anabólico/catabólico. Preditor de adaptação ao treinamento.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&gt; 30% em relação ao baseline → estado de overreaching. Reorganizar microciclo. Base: Adlercreutz et al., 1986.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Sports Sciences J., 2016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DHEA-S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Pré-hormônio de testosterona e estrogênio. Marcador de reserva adrenal.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progressiva = susceptibilidade a overtraining em atletas femininas. Monitorar junto ao Cortisol.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PMC5640004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SHBG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Globulina ligadora de hormônios sexuais. Regula testosterona livre.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SHBG elevado reduz T biodisponível mesmo com T total normal. Relevante para ajuste de TRT.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PMC5640004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IGF-1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Mediador anabólico do GH. Síntese proteica em músculo, osso e cartilagem.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IGF-1 baixo cronicamente = preditor de sarcopenia. Direto para validar resposta a GH exógeno.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ScienceDirect, 2025 (ESCEO)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TSH / T3 livre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Função tireoidiana. T3 baixo = marcador de baixa disponibilidade energética (RED-S).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 baixo + perda de peso = RED-S ou restrição calórica severa. Alerta no sistema para revisão nutricional.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Frontiers in Endocrinology, 2021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4"/>
              <w:left w:val="single" w:color="9B2335" w:sz="12"/>
              <w:bottom w:val="single" w:color="9B2335" w:sz="1"/>
              <w:right w:val="single" w:color="9B2335" w:sz="1"/>
            </w:tcBorders>
            <w:shd w:fill="FAD9D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Aplicação direta no Nexus Core: A Razão T/C é calculada automaticamente a cada inserção de biomarker_log com Testosterona e Cortisol disponíveis. Quedas ≥ 30% do baseline ativam a flag 'overreaching_risk = true' no perfil do usuário, que força o algoritmo a converter a próxima semana em microciclo de descarga.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Status Hematológico e Capacidade Aeróbica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9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o Sistema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Hemoglobina / Hematócrito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de transporte de O₂.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Anemia por esforço reduz limiar aeróbico e tolerância ao volume. Hipervolemia por treino endurance dilui falsamente os valores.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PMC6901403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+ TIBC + Saturação de Transferrina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Estoques de ferro e capacidade de reposição.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&lt; 30 ng/mL = deficiência funcional de ferro mesmo sem anemia clínica. Impacta produção de hemoglobina e desempenho. Nota: ferritina é reagente de fase aguda — interpretar junto à hs-CRP.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Vitalibrary, 2025; ACSM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Vitamina D (25-OH-D)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Função muscular, imunidade, anti-inflamatório.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Deficiência (&lt; 20 ng/mL) impacta força muscular e aumenta susceptibilidade a infecções. Ergogênico natural amplamente subutilizado.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PMC8167350 (Sports Health)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Eritropoietina (EPO)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Estimulação da eritropoiese.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indireto de manipulação de EPO. Valores acima do normal em repouso = sinal de alerta.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WADA Technical Document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Marcadores Metabólicos e Nutricionais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31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o Sistema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HbA1c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Controle glicêmico dos últimos 90 dias.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Já presente no doc v1.0. Relevante para ajuste de timing nutricional em atletas com resistência à insulina.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 Standards of Care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Glicose em Jejum + Insulina (HOMA-IR)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Sensibilidade à insulina.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HOMA-IR elevado = resistência insulínica. Impacta reposição de glicogênio e partição de nutrientes pós-treino.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Friedman &amp; Halaas, 1998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Ureia + Creatinina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Catabolismo proteico + função renal.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Ureia elevada = síntese versus degradação proteica negativa. Creatinina elevada = possível sobrecarrega renal (risco em uso de EAA + alta ingestão proteica).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RBPFEX, 2016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 + AST + GGT (TGO/TGP)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Função hepática.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Essenciais para monitoramento de hepatotoxicidade em uso de EAA orais (17-alfa-alquilados) ou polifarmácia. ALT/AST &gt; 3x o limite superior = alerta crítico.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i-screen.com.au; Bird et al., 2016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Lipidograma (LDL, HDL, TG)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lipídico cardiovascular.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EAA reduzem HDL e aumentam LDL — principal risco cardiovascular. Monitoramento obrigatório em qualquer protocolo farmacológico.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ScienceDirect, 2017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Vitamina B12 + Folato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Síntese de hemácias e função neurológica.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Deficiência comum em atletas vegetarianos/veganos. Impacta eritropoiese e recuperação do SNC.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ACSM Nutrition Guidelines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Biomarcadores Emergentes (Pipeline Futuro)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literatura de medicina esportiva identifica um conjunto de biomarcadores com potencial elevado para monitoramento de carga, ainda com custo e/ou disponibilidade laboratorial limitados, mas que representam a fronteira do campo: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é promissor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cfDNA (DNA livre circulante)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celular sistêmico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Resposta pronunciada após exercício extenuante; primeiros dados apontam correlação com OTS (PMC10587296).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Mistatina (GDF-8)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Inibidor de crescimento muscular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Queda da miostatina = ambiente anabólico. Aumento = catabolismo. Relevante para monitorar resposta a EAA e SARM.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Troponina T de alta sensibilidade (hs-cTnT)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cardíaco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Elevações agudas pós-exercício intenso. Monitoramento crítico em uso de EAA + treinamento hipertrófico intenso.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Neutrófilos/Linfócitos (NLR)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imunológico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Razão elevada = imunossupressão por overtraining. Simples, barato e frequentemente ignorado.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Irisin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Miocina metabólica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Liberada pela contração muscular; modula adipogênese e metabolismo glicêmico. Potencial como marcador de fitness metabólico.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Integração Clínica: Biomarcadores como Critério de Dose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formaliza a lógica de decisão do sistema: como os biomarcadores são utilizados para guiar, modular ou contraindicar o uso de medicamentos e recursos ergogênicos. É aqui que o Nexus Core se diferencia fundamentalmente de um simples diário de treino.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Critérios para Modulação de Dose Farmacológica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Detectado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 do Sistema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Razão T/C &lt; 70% do 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Overreaching/catabolismo sistêmico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 overreaching_risk. Sinaliza ao profissional para revisar dose e timing de TRT ou AAS.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ALT/AST &gt; 3x LSN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Hepatotoxicidade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crítico vermelho. Suspensão recomendada de qualquer composto oral hepatotóxico. Bloqueia prescrição de novo ciclo.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LDL &gt; 190 mg/dL ou HDL &lt; 30 mg/dL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cardiovascular elevado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laranja. Bloqueia recomendação de aumento de dose de EAA. Sinaliza inclusão de estatina/ômega-3.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&lt; 30 ng/mL + Hb em queda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Anemia ferropriva funcional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Reduz ACWR alvo para 1.0–1.2. Sinaliza reposição de ferro antes de aumentar carga.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&gt; 2000 U/L persistente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insuficiente crônica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 meia-vida efetiva do composto. Indica que a janela de recuperação prescrita é insuficiente para o user_id.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Vitamina D &lt; 20 ng/mL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Deficiência de ergogênico natural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Sinaliza ao profissional suplementação. Modela expectativa de melhora em força em ~3 meses.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Mioglobina &gt; 1500 ng/mL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de rabdomiólise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crítico. Cancela sessão do dia. Log enviado via WhatsApp com orientação de hidratação e avaliação médica.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Critérios para Validação de Resposta a Ergogênicos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opera em ciclos de validação: o ergogênico é prescrito, e o painel sanguíneo na semana 4–6 deve demonstrar a resposta esperada. Se não demonstrar, o algoritmo questiona a qualidade do produto, a dosagem ou a resposta individual.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Ergogênico / Medicamento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Biomarcadores de Validação de Resposta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no Sistema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Creatina Monohidratada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basal (pode elevar), performance no teste de tonagem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Aumento de 5–15% na tonagem em 4–6 semanas confirma resposta. CPK ligeiramente elevado é esperado.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Vitamina D3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25-OH-D sérico, força (tonagem), PCR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Alvo: 25-OH-D entre 40–60 ng/mL. Redução de hs-CRP basal é marcador secundário de sucesso.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Ferro (suplementação)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+ TIBC + Hb + capacidade aeróbica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&gt; 50 ng/mL + Hb estável = reposição eficaz. Saturação de transferrina normalizada em 8–12 semanas.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TRT (Testosterona de Reposição)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total + T livre + SHBG + Razão T/C + Lipidograma + Hematócrito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total no terço superior do ref. fisiológico. T/C ratio &gt; baseline. Hematócrito &lt; 50% (risco trombótico). LDL controlado.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 / Secretagogos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IGF-1 + Glicose jejum + Insulina (HOMA-IR)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IGF-1 no range superior do fisiológico. Ausência de resistência insulínica induzida.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Beta-Alanina / Tamponadores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Lactato pós-esforço, PSE, tonagem em altas repetições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Melhora na tolerância ao esforço de alta intensidade. Redução de lactato pós-treino em cargas equivalentes.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4"/>
              <w:left w:val="single" w:color="9B2335" w:sz="12"/>
              <w:bottom w:val="single" w:color="9B2335" w:sz="1"/>
              <w:right w:val="single" w:color="9B2335" w:sz="1"/>
            </w:tcBorders>
            <w:shd w:fill="FAD9D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Nota de segurança: O Nexus Core não prescreve medicamentos. O sistema gera sinalizações e relatórios que auxiliam o profissional habilitado (médico ou farmacêutico) na tomada de decisão. As regras de negócio acima são triggers de alerta, não prescrições automáticas.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Pipeline de IA e Tratamento de Viéses (Edge Cases)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motor de Machine Learning utiliza regressão múltipla para prever a prontidão de recuperação, com tratamento explícito de falhas sistêmicas e viéses.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Mitigação de Falhas Sistêmicas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Viés de Subjetividade (PSE): </w:t>
      </w:r>
      <w:r>
        <w:rPr>
          <w:rFonts w:ascii="Arial" w:cs="Arial" w:eastAsia="Arial" w:hAnsi="Arial"/>
          <w:sz w:val="22"/>
          <w:szCs w:val="22"/>
        </w:rPr>
        <w:t xml:space="preserve">Se biomarcadores objetivos (CPK, PCR, T/C) contradizem o relato subjetivo do aluno, o algoritmo aplica peso 0.8 ao dado objetivo e 0.2 ao subjetivo no recálculo de carga.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Viés de Hidratação na Bioimpedância: </w:t>
      </w:r>
      <w:r>
        <w:rPr>
          <w:rFonts w:ascii="Arial" w:cs="Arial" w:eastAsia="Arial" w:hAnsi="Arial"/>
          <w:sz w:val="22"/>
          <w:szCs w:val="22"/>
        </w:rPr>
        <w:t xml:space="preserve">Checklist booleano obrigatório antes da inserção do Ângulo de Fase (jejum, ausência de treino nas últimas 24h). Retorno False → dado classificado com baixa confiabilidade e ignorado nas tendências crônicas.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Viés da Ferritina como Reagente de Fase Aguda: </w:t>
      </w:r>
      <w:r>
        <w:rPr>
          <w:rFonts w:ascii="Arial" w:cs="Arial" w:eastAsia="Arial" w:hAnsi="Arial"/>
          <w:sz w:val="22"/>
          <w:szCs w:val="22"/>
        </w:rPr>
        <w:t xml:space="preserve">Sistema cruza ferritina com hs-CRP. Se hs-CRP elevado (&gt; 5 mg/L), a ferritina é interpretada com threshold revisado (+30 ng/mL no limite inferior), evitando diagnóstico falso de suficiência de ferro.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Metabolização Individual vs. Meia-Vida Genérica: </w:t>
      </w:r>
      <w:r>
        <w:rPr>
          <w:rFonts w:ascii="Arial" w:cs="Arial" w:eastAsia="Arial" w:hAnsi="Arial"/>
          <w:sz w:val="22"/>
          <w:szCs w:val="22"/>
        </w:rPr>
        <w:t xml:space="preserve">Se exames seriados demonstram que o usuário metaboliza a medicação diferente da literatura padrão, o algoritmo recalibra a variável t½ especificamente para o user_id.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Dilução Hematológica por Hipervolemia: </w:t>
      </w:r>
      <w:r>
        <w:rPr>
          <w:rFonts w:ascii="Arial" w:cs="Arial" w:eastAsia="Arial" w:hAnsi="Arial"/>
          <w:sz w:val="22"/>
          <w:szCs w:val="22"/>
        </w:rPr>
        <w:t xml:space="preserve">O sistema detecta queda de Hb/Hct em atletas de endurance com aumento concomitante de volume de treinamento e ajusta a interpretação para 'falsa anemia por diluição' em vez de anemia ferropriva.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Modelo de Prontidão de Recuperação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score de prontidão é uma função ponderada dos seguintes inputs: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Padrão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Razão T/C vs. 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Hormonal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ACWR (carga mecânica)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Mecânico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CPK vs. 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Dano muscular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Ângulo de Fase (quando válido)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Bioimpedância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hs-CRP vs. baseline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Inflamação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PSE subjetiva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Subjetivo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Ferritina + Hb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Hematológico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4"/>
              <w:left w:val="single" w:color="1B6B3A" w:sz="12"/>
              <w:bottom w:val="single" w:color="1B6B3A" w:sz="1"/>
              <w:right w:val="single" w:color="1B6B3A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Os pesos são recalibrados por Bayesian Update à medida que o histórico do user_id acumula dados. A literatura suporta essa abordagem: Halson (2014, Sports Medicine) documenta que modelos multi-fatoriais superam marcadores isolados na predição de overtraining.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Fluxo Automatizado e Parser (WhatsApp)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arquitetura opera em um ciclo fechado de 3 etapas para minimizar a carga operacional sobre o profissional: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Etapa 1 — Input Matinal: </w:t>
      </w:r>
      <w:r>
        <w:rPr>
          <w:rFonts w:ascii="Arial" w:cs="Arial" w:eastAsia="Arial" w:hAnsi="Arial"/>
          <w:sz w:val="22"/>
          <w:szCs w:val="22"/>
        </w:rPr>
        <w:t xml:space="preserve">Disparo automatizado via Webhook solicitando dados de sono, dor muscular e PSE.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Etapa 2 — Core Engine: </w:t>
      </w:r>
      <w:r>
        <w:rPr>
          <w:rFonts w:ascii="Arial" w:cs="Arial" w:eastAsia="Arial" w:hAnsi="Arial"/>
          <w:sz w:val="22"/>
          <w:szCs w:val="22"/>
        </w:rPr>
        <w:t xml:space="preserve">Dashboard consolida curvas de Tonagem vs. Concentração Plasmática vs. Ângulo de Fase vs. Razão T/C e recalcula as cargas do dia considerando todos os biomarcadores disponíveis.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Etapa 3 — Parser Visual (Output): </w:t>
      </w:r>
      <w:r>
        <w:rPr>
          <w:rFonts w:ascii="Arial" w:cs="Arial" w:eastAsia="Arial" w:hAnsi="Arial"/>
          <w:sz w:val="22"/>
          <w:szCs w:val="22"/>
        </w:rPr>
        <w:t xml:space="preserve">Backend parseia as tabelas SQL ao final do microciclo, traduzindo métricas em linguagem natural e devolvendo o resultado via API do WhatsApp.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7B6" w:sz="4"/>
              <w:left w:val="single" w:color="0077B6" w:sz="12"/>
              <w:bottom w:val="single" w:color="0077B6" w:sz="1"/>
              <w:right w:val="single" w:color="0077B6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Exemplo de Output do Parser (expandido v2.0):
"Tonagem total: 14.500 kg (+4%). ACWR em 1.1 (Zona Segura). Ângulo de fase: 6.8 (Excelente). Razão T/C: 0.028 (-8% vs. baseline — zona de atenção). CPK: 420 U/L (dentro do esperado para o volume). Recomendação: manter volume. Verificar nutrição proteica peri-treino."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Avaliação de Viabilidade e Posicionamento no Mercado</w:t>
      </w:r>
    </w:p>
    <w:p>
      <w:pPr>
        <w:pStyle w:val="Heading2"/>
      </w:pPr>
      <w:r>
        <w:rPr>
          <w:rFonts w:ascii="Arial" w:cs="Arial" w:eastAsia="Arial" w:hAnsi="Arial"/>
        </w:rPr>
        <w:t xml:space="preserve">7.1 O Conceito é Válido?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Sim, com ressalvas de implementação. </w:t>
      </w:r>
      <w:r>
        <w:rPr>
          <w:rFonts w:ascii="Arial" w:cs="Arial" w:eastAsia="Arial" w:hAnsi="Arial"/>
          <w:sz w:val="22"/>
          <w:szCs w:val="22"/>
        </w:rPr>
        <w:t xml:space="preserve">A fundamentação científica é sólida. A literatura de medicina esportiva — incluindo revisões sistemáticas recentes no PMC — documenta que a integração de biomarcadores multi-domínio com dados de carga de treinamento é o padrão emergente no esporte de alto rendimento (Saw et al., 2016; Kellmann et al., 2018). O que o Nexus Core propõe é a democratização e automação desse processo para o contexto clínico privado (personal trainers e médicos do esporte).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Gaps e Desafios Honestos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Custo de exames: </w:t>
      </w:r>
      <w:r>
        <w:rPr>
          <w:rFonts w:ascii="Arial" w:cs="Arial" w:eastAsia="Arial" w:hAnsi="Arial"/>
          <w:sz w:val="22"/>
          <w:szCs w:val="22"/>
        </w:rPr>
        <w:t xml:space="preserve">Um painel completo (T, Cortisol, CPK, PCR, Ferritina, VitD, lipidograma, função hepática) custa entre R$400–R$1.200 em laboratórios privados no Brasil. Frequência recomendada: a cada 4–6 semanas. Isso é acessível para o público-alvo de alto padrão.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Variabilidade intra-individual: </w:t>
      </w:r>
      <w:r>
        <w:rPr>
          <w:rFonts w:ascii="Arial" w:cs="Arial" w:eastAsia="Arial" w:hAnsi="Arial"/>
          <w:sz w:val="22"/>
          <w:szCs w:val="22"/>
        </w:rPr>
        <w:t xml:space="preserve">A literatura é clara que valores pontuais têm pouco valor preditivo. O sistema só se torna clinicamente útil com pelo menos 2–3 coletas de baseline por usuário (10–12 semanas de dados).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Sensibilidade da Razão T/C: </w:t>
      </w:r>
      <w:r>
        <w:rPr>
          <w:rFonts w:ascii="Arial" w:cs="Arial" w:eastAsia="Arial" w:hAnsi="Arial"/>
          <w:sz w:val="22"/>
          <w:szCs w:val="22"/>
        </w:rPr>
        <w:t xml:space="preserve">A literatura tem debates sobre a especificidade da T/C ratio — alguns autores apontam alta variabilidade circadiana. A recomendação é padronizar coleta às 7–9h da manhã em jejum.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C75B00"/>
          <w:sz w:val="22"/>
          <w:szCs w:val="22"/>
        </w:rPr>
        <w:t xml:space="preserve">Regulação e responsabilidade: </w:t>
      </w:r>
      <w:r>
        <w:rPr>
          <w:rFonts w:ascii="Arial" w:cs="Arial" w:eastAsia="Arial" w:hAnsi="Arial"/>
          <w:sz w:val="22"/>
          <w:szCs w:val="22"/>
        </w:rPr>
        <w:t xml:space="preserve">O sistema precisa de disclaimers robustos e supervisão de profissional habilitado. A prescrição direta de doses é vedada a não-médicos no Brasil (CFM/CFF).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Diferencial competitivo: </w:t>
      </w:r>
      <w:r>
        <w:rPr>
          <w:rFonts w:ascii="Arial" w:cs="Arial" w:eastAsia="Arial" w:hAnsi="Arial"/>
          <w:sz w:val="22"/>
          <w:szCs w:val="22"/>
        </w:rPr>
        <w:t xml:space="preserve">Não existe no mercado brasileiro uma solução que integre dados de treinamento físico, farmacocinética e painel hematológico em um único motor de decisão. O Nexus Core ocupa um nicho sem concorrência direta.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Posicionamento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Público-alvo primário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Médicos do esporte e clínicas de performance que atendem atletas recreacionais/amadores de alto padrão (mercado B2B2C).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Público-alvo secundário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trainers certificados que trabalham em parceria com endocrinologistas/médicos do esporte.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de negócio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(mensalidade por profissional). Potencial para marketplace de laudos laboratoriais integrados.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Barreiras de entrada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de desenvolvimento do motor de IA, validação clínica, e conformidade regulatória (LGPD/ANVISA para dados de saúde).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Tamanho do mercado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brasileiro de medicina esportiva estimado em R$2,5 bi (2023). Segmento de software clínico esportivo: incipiente e sem player dominante.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Instruções para Deploy Local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Pré-requisitos: Docker, Docker Compose, Node.js 20+, Python 3.11+.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single" w:color="1E3A5F" w:sz="12"/>
              <w:bottom w:val="single" w:color="1E3A5F" w:sz="1"/>
              <w:right w:val="single" w:color="1E3A5F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# 1. Clone o repositório
git clone https://github.com/seu-usuario/nexus-core.git
# 2. Acesse o diretório
cd nexus-core
# 3. Configure variáveis de ambiente
cp .env.example .env
# Edite .env com suas chaves de PostgreSQL/Supabase, WhatsApp API e chaves de IA
# 4. Inicialize os contêineres
docker-compose up -d --build
# 5. Execute as migrações (inclui schema expandido de biomarcadores v2.0)
make migrate
# 6. Seed de dados de referência (ranges de biomarcadores por sexo/idade)
make seed-biomarker-refs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Variáveis de ambiente críticas: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DATABASE_URL: string de conexão PostgreSQL/Supabase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WHATSAPP_API_KEY: chave do provider de WhatsApp Business (ex: Twilio, Z-API)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ANTHROPIC_API_KEY: para o módulo de parser em linguagem natural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HALF_LIFE_OVERRIDE_ENABLED: boolean para habilitar recalibração de meia-vida por user_id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Referências Científicas Principais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Gabbett, T.J. (2016). The training-injury prevention paradox. British Journal of Sports Medicine, 50(5), 273-280.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Kellmann, M. et al. (2018). Recovery and Performance in Sport: Consensus Statement. International Journal of Sports Physiology and Performance, 13(2), 240-245.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Halson, S.L. (2014). Monitoring Training Load to Understand Fatigue in Athletes. Sports Medicine, 44(S2), 139-147.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Saw, A.E., Main, L.C., Gastin, P.B. (2016). Monitoring the athlete training response: subjective self-reported measures trump commonly used objective measures. British Journal of Sports Medicine, 50(5), 281-291.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Buchheit, M. (2017). Applying the acute:chronic workload ratio in elite football: worth the effort? British Journal of Sports Medicine, 51(18), 1325-1327.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Goldsmith, E. et al. (2021). Biomarkers in Sports and Exercise: Tracking Health, Performance, and Recovery in Athletes. Journal of Strength and Conditioning Research. PMC5640004.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Heisterberg, M.F. et al. (2021). Blood Biomarker Profiling and Monitoring for High-Performance Physiology and Nutrition. Sports Medicine, 50, 463-490. PMC6901403.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Garcia-Tabar, I. et al. (2021). Blood Biomarkers Variations across the Pre-Season in Professional Soccer Players. MDPI Sports. PubMed 34884288.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Cadegiani, F.A., Kater, C.E. (2019). Novel Insights of Overtraining Syndrome Discovered from the EROS Study. BMJ Open Sport &amp; Exercise Medicine.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Brancaccio, P., Maffulli, N., Limongelli, F.M. (2007). Creatine kinase monitoring in sport medicine. British Medical Bulletin, 81-82, 209-230.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Adlercreutz, H. et al. (1986). Effect of Training on Plasma Anabolic and Catabolic Steroid Hormones. International Journal of Sports Medicine, 7(S1), 27-28.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Bird, S.R. et al. (2016). Doping in sport and exercise: anabolic, ergogenic, health and clinical issues. Annals of Clinical Biochemistry, 53(2), 196-221.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7B6" w:sz="6" w:space="4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77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2026-03-09T11:32:58.458Z</dcterms:created>
  <dcterms:modified xsi:type="dcterms:W3CDTF">2026-03-09T11:32:58.459Z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