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29C0B129" w14:textId="77777777" w:rsidR="00005CB6" w:rsidRPr="00931701" w:rsidRDefault="00005CB6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9CB140" w14:textId="77777777" w:rsidR="00F3122D" w:rsidRPr="00F3122D" w:rsidRDefault="00F3122D" w:rsidP="00F3122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3122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hemos cumplido las actividades en los tiempos definidos e incluso nos adelantamos. A esta altura debían estar terminados los Sprints 1 y 2 (usuarios y roles, gestión de actividades, asistencia y auditoría), equivalentes a 26 de 50 puntos de función. Llevamos 42: además de lo planificado ya completamos cupos e inscripciones (Sprint 3) y reportes (Sprint 5), y dejamos avanzada la lógica de invitaciones por correo (Sprint 4). El respaldo (Historia 008) aún no se inicia, pero está previsto para las semanas 11 y 12.</w:t>
            </w:r>
          </w:p>
          <w:p w14:paraId="7A48ACED" w14:textId="77777777" w:rsidR="00F3122D" w:rsidRPr="00F3122D" w:rsidRDefault="00F3122D" w:rsidP="00F3122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11F07A4" w14:textId="77777777" w:rsidR="00F3122D" w:rsidRPr="00F3122D" w:rsidRDefault="00F3122D" w:rsidP="00F3122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3122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Facilitadores: conocíamos el stack, el Punto Estudiantil ya tenía los lectores, y las pruebas automatizadas (299, con 90 % de cobertura) nos permitieron cambiar el sistema sin romperlo. El adelanto nos dio margen para absorber los cambios de alcance.</w:t>
            </w:r>
          </w:p>
          <w:p w14:paraId="2E750F0C" w14:textId="77777777" w:rsidR="00F3122D" w:rsidRPr="00F3122D" w:rsidRDefault="00F3122D" w:rsidP="00F3122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5BCF0B7C" w:rsidR="004F2A8B" w:rsidRDefault="00F3122D" w:rsidP="00F3122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3122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Dificultades: la coordinación de horarios con el Punto Estudiantil (solo se hizo una de las revisiones acordadas), los carnets antiguo y nuevo que entregan el RUT en formatos distintos, y la dependencia de infraestructura que aún no existe (cuenta institucional para el correo y servidor de producción para el respaldo).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8C14AED" w14:textId="77777777" w:rsidR="00F3122D" w:rsidRDefault="00F3122D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27171CF" w14:textId="77777777" w:rsidR="00F3122D" w:rsidRDefault="00F3122D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72F91F6" w14:textId="77777777" w:rsidR="00F3122D" w:rsidRDefault="00F3122D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DDF607E" w14:textId="77777777" w:rsidR="00F3122D" w:rsidRDefault="00F3122D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611D0748" w14:textId="77777777" w:rsidR="00F3122D" w:rsidRPr="00F3122D" w:rsidRDefault="00F3122D" w:rsidP="00F3122D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3122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Coordinación: agendaremos las revisiones pendientes con fecha fija, concentradas en pocas sesiones, con las pantallas listas para validar.</w:t>
            </w:r>
          </w:p>
          <w:p w14:paraId="31AD50B7" w14:textId="77777777" w:rsidR="00F3122D" w:rsidRPr="00F3122D" w:rsidRDefault="00F3122D" w:rsidP="00F3122D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3122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Cambios de alcance: los incorporamos en la revisión 02 de la Product Vision y del Backlog; el adelanto permitió absorberlos sin atrasar el plan.</w:t>
            </w:r>
          </w:p>
          <w:p w14:paraId="60FE441C" w14:textId="77777777" w:rsidR="00F3122D" w:rsidRPr="00F3122D" w:rsidRDefault="00F3122D" w:rsidP="00F3122D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3122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Carnets distintos: ampliamos el campo del escáner y reconocimos ambos formatos, probándolo con lectores reales. Falta probar con RUN de 7 dígitos o con K.</w:t>
            </w:r>
          </w:p>
          <w:p w14:paraId="7BC4D618" w14:textId="1587D8E4" w:rsidR="004F2A8B" w:rsidRPr="00874D16" w:rsidRDefault="00F3122D" w:rsidP="00F3122D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3122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Correo y respaldo: el SMTP ya está en el código, desactivado; lo activaremos con la cuenta institucional. El respaldo lo implementaremos en las semanas 11 y 12; si no hay servidor de producción, lo evidenciaremos en el entorno local y lo conversaremos con el docente.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5D99CA8E" w14:textId="305F6B27" w:rsidR="004F2A8B" w:rsidRPr="00F3122D" w:rsidRDefault="00F3122D" w:rsidP="3D28A338">
            <w:pPr>
              <w:jc w:val="both"/>
              <w:rPr>
                <w:rFonts w:ascii="Calibri" w:hAnsi="Calibri"/>
                <w:color w:val="808080" w:themeColor="background1" w:themeShade="80"/>
              </w:rPr>
            </w:pPr>
            <w:r w:rsidRPr="00F3122D">
              <w:rPr>
                <w:rFonts w:ascii="Calibri" w:hAnsi="Calibri"/>
                <w:color w:val="808080" w:themeColor="background1" w:themeShade="80"/>
              </w:rPr>
              <w:t>Destaco haber sacado adelante el núcleo del sistema (control de acceso por roles, escáner, cupos con bloqueo transaccional y auditoría), respaldado con pruebas automáticas y refuerzos de seguridad no planificados, y haber mantenido ordenados el repositorio y la documentación. Puedo mejorar en delegar más, porque gran parte del backend y la seguridad quedó en mis manos, y en anticipar las dependencias externas (cuenta de correo, servidor) para no dejarlas para el final.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48C5D00" w14:textId="77777777" w:rsidR="00F3122D" w:rsidRPr="00F3122D" w:rsidRDefault="00F3122D" w:rsidP="00F3122D">
            <w:pPr>
              <w:pStyle w:val="Prrafodelista"/>
              <w:numPr>
                <w:ilvl w:val="0"/>
                <w:numId w:val="43"/>
              </w:numPr>
              <w:jc w:val="both"/>
              <w:rPr>
                <w:rFonts w:ascii="Calibri" w:hAnsi="Calibri"/>
                <w:color w:val="808080" w:themeColor="background1" w:themeShade="80"/>
              </w:rPr>
            </w:pPr>
            <w:r w:rsidRPr="00F3122D">
              <w:rPr>
                <w:rFonts w:ascii="Calibri" w:hAnsi="Calibri"/>
                <w:color w:val="808080" w:themeColor="background1" w:themeShade="80"/>
              </w:rPr>
              <w:t>El respaldo periódico está planificado para las semanas 11 y 12 y depende de un servidor de producción que aún no existe. Si no lo tenemos para entonces, ¿se considera suficiente mostrar un script probado en el entorno local?</w:t>
            </w:r>
          </w:p>
          <w:p w14:paraId="77D8A53C" w14:textId="77777777" w:rsidR="00F3122D" w:rsidRPr="00F3122D" w:rsidRDefault="00F3122D" w:rsidP="00F3122D">
            <w:pPr>
              <w:pStyle w:val="Prrafodelista"/>
              <w:numPr>
                <w:ilvl w:val="0"/>
                <w:numId w:val="43"/>
              </w:numPr>
              <w:jc w:val="both"/>
              <w:rPr>
                <w:rFonts w:ascii="Calibri" w:hAnsi="Calibri"/>
                <w:color w:val="808080" w:themeColor="background1" w:themeShade="80"/>
              </w:rPr>
            </w:pPr>
            <w:r w:rsidRPr="00F3122D">
              <w:rPr>
                <w:rFonts w:ascii="Calibri" w:hAnsi="Calibri"/>
                <w:color w:val="808080" w:themeColor="background1" w:themeShade="80"/>
              </w:rPr>
              <w:t>Si no logramos una cuenta institucional a tiempo, ¿es suficiente mostrar el envío de correos en modo consola, con el SMTP ya implementado y desactivado?</w:t>
            </w:r>
          </w:p>
          <w:p w14:paraId="4D47DFA3" w14:textId="77777777" w:rsidR="00F3122D" w:rsidRPr="00F3122D" w:rsidRDefault="00F3122D" w:rsidP="00F3122D">
            <w:pPr>
              <w:pStyle w:val="Prrafodelista"/>
              <w:numPr>
                <w:ilvl w:val="0"/>
                <w:numId w:val="43"/>
              </w:numPr>
              <w:jc w:val="both"/>
              <w:rPr>
                <w:rFonts w:ascii="Calibri" w:hAnsi="Calibri"/>
                <w:color w:val="808080" w:themeColor="background1" w:themeShade="80"/>
              </w:rPr>
            </w:pPr>
            <w:r w:rsidRPr="00F3122D">
              <w:rPr>
                <w:rFonts w:ascii="Calibri" w:hAnsi="Calibri"/>
                <w:color w:val="808080" w:themeColor="background1" w:themeShade="80"/>
              </w:rPr>
              <w:t>De las revisiones con el Punto Estudiantil solo hemos hecho una. ¿Qué evidencia de validación con la contraparte considera suficiente para el informe final?</w:t>
            </w:r>
          </w:p>
          <w:p w14:paraId="4D9260D8" w14:textId="595B5F55" w:rsidR="004F2A8B" w:rsidRPr="00F3122D" w:rsidRDefault="00F3122D" w:rsidP="00F3122D">
            <w:pPr>
              <w:pStyle w:val="Prrafodelista"/>
              <w:numPr>
                <w:ilvl w:val="0"/>
                <w:numId w:val="43"/>
              </w:numPr>
              <w:jc w:val="both"/>
              <w:rPr>
                <w:rFonts w:ascii="Calibri" w:hAnsi="Calibri"/>
                <w:color w:val="808080" w:themeColor="background1" w:themeShade="80"/>
              </w:rPr>
            </w:pPr>
            <w:r w:rsidRPr="00F3122D">
              <w:rPr>
                <w:rFonts w:ascii="Calibri" w:hAnsi="Calibri"/>
                <w:color w:val="808080" w:themeColor="background1" w:themeShade="80"/>
              </w:rPr>
              <w:t>¿Cómo se evalúa a cada integrante cuando los aportes técnicos son de distinto tipo (backend, frontend, base de datos)?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451BE174" w14:textId="506C1099" w:rsidR="00F3122D" w:rsidRPr="00F3122D" w:rsidRDefault="00F3122D" w:rsidP="00F3122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3122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Hasta ahora el backend, la seguridad y buena parte de las pruebas han recaído en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</w:t>
            </w:r>
            <w:r w:rsidRPr="00F3122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Para lo que viene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ya decidimos como proceder </w:t>
            </w:r>
            <w:r w:rsidRPr="00F3122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</w:t>
            </w:r>
          </w:p>
          <w:p w14:paraId="59A4ECFD" w14:textId="77777777" w:rsidR="00F3122D" w:rsidRPr="00F3122D" w:rsidRDefault="00F3122D" w:rsidP="00F3122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7249B8D" w14:textId="77777777" w:rsidR="00F3122D" w:rsidRPr="00F3122D" w:rsidRDefault="00F3122D" w:rsidP="00F3122D">
            <w:pPr>
              <w:pStyle w:val="Prrafodelista"/>
              <w:numPr>
                <w:ilvl w:val="0"/>
                <w:numId w:val="44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3122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Prueba de usabilidad con operadores reales (semana 13): Pablo y Diverson, con apoyo de Gabriel.</w:t>
            </w:r>
          </w:p>
          <w:p w14:paraId="42702A71" w14:textId="77777777" w:rsidR="00F3122D" w:rsidRPr="00F3122D" w:rsidRDefault="00F3122D" w:rsidP="00F3122D">
            <w:pPr>
              <w:pStyle w:val="Prrafodelista"/>
              <w:numPr>
                <w:ilvl w:val="0"/>
                <w:numId w:val="44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3122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Capturas, demo en video y tablas de Planning Poker: repartidas por épica entre los tres.</w:t>
            </w:r>
          </w:p>
          <w:p w14:paraId="6419100F" w14:textId="77777777" w:rsidR="00F3122D" w:rsidRPr="00F3122D" w:rsidRDefault="00F3122D" w:rsidP="00F3122D">
            <w:pPr>
              <w:pStyle w:val="Prrafodelista"/>
              <w:numPr>
                <w:ilvl w:val="0"/>
                <w:numId w:val="44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3122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Actualización del Documento 05 y corrección del Backlog: Diverson.</w:t>
            </w:r>
          </w:p>
          <w:p w14:paraId="3089F594" w14:textId="77777777" w:rsidR="00F3122D" w:rsidRPr="00F3122D" w:rsidRDefault="00F3122D" w:rsidP="00F3122D">
            <w:pPr>
              <w:pStyle w:val="Prrafodelista"/>
              <w:numPr>
                <w:ilvl w:val="0"/>
                <w:numId w:val="44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3122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Activación del SMTP y respaldo en producción: Gabriel y Diverson.</w:t>
            </w:r>
          </w:p>
          <w:p w14:paraId="29C5EEFE" w14:textId="379EF859" w:rsidR="004F2A8B" w:rsidRPr="00F3122D" w:rsidRDefault="00F3122D" w:rsidP="00F3122D">
            <w:pPr>
              <w:pStyle w:val="Prrafodelista"/>
              <w:numPr>
                <w:ilvl w:val="0"/>
                <w:numId w:val="44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3122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Validaciones con el Punto Estudiantil: coordinadas por Gabriel, con todo el grupo.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64E0ECA" w14:textId="77777777" w:rsidR="000C3AA0" w:rsidRPr="000C3AA0" w:rsidRDefault="000C3AA0" w:rsidP="000C3AA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C3AA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Positivo: roles claros desde la Fase 1 (Scrum Master y backend, frontend y UX/UI, base de datos y QA), repositorio y documentación compartidos con revisiones fechadas, y entrega del núcleo del sistema en los plazos, con adelanto.</w:t>
            </w:r>
          </w:p>
          <w:p w14:paraId="739A6F94" w14:textId="79F0CB2D" w:rsidR="004F2A8B" w:rsidRDefault="000C3AA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C3AA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 mejorar: coordinar mejor los horarios, entre nosotros y con el Punto Estudiantil; repartir de forma más pareja el trabajo técnico; y anticipar las tareas que dependen de terceros.</w:t>
            </w: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F61FE" w14:textId="77777777" w:rsidR="000E5645" w:rsidRDefault="000E5645" w:rsidP="00DF38AE">
      <w:pPr>
        <w:spacing w:after="0" w:line="240" w:lineRule="auto"/>
      </w:pPr>
      <w:r>
        <w:separator/>
      </w:r>
    </w:p>
  </w:endnote>
  <w:endnote w:type="continuationSeparator" w:id="0">
    <w:p w14:paraId="3BD50FC7" w14:textId="77777777" w:rsidR="000E5645" w:rsidRDefault="000E564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EC24F" w14:textId="77777777" w:rsidR="000E5645" w:rsidRDefault="000E5645" w:rsidP="00DF38AE">
      <w:pPr>
        <w:spacing w:after="0" w:line="240" w:lineRule="auto"/>
      </w:pPr>
      <w:r>
        <w:separator/>
      </w:r>
    </w:p>
  </w:footnote>
  <w:footnote w:type="continuationSeparator" w:id="0">
    <w:p w14:paraId="6EC0C0C4" w14:textId="77777777" w:rsidR="000E5645" w:rsidRDefault="000E564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F51A93"/>
    <w:multiLevelType w:val="hybridMultilevel"/>
    <w:tmpl w:val="4BF41EE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6452B"/>
    <w:multiLevelType w:val="hybridMultilevel"/>
    <w:tmpl w:val="6630A85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D7382F"/>
    <w:multiLevelType w:val="hybridMultilevel"/>
    <w:tmpl w:val="35B0323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FE220EF"/>
    <w:multiLevelType w:val="hybridMultilevel"/>
    <w:tmpl w:val="4C388DB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1905276">
    <w:abstractNumId w:val="4"/>
  </w:num>
  <w:num w:numId="2" w16cid:durableId="512383844">
    <w:abstractNumId w:val="10"/>
  </w:num>
  <w:num w:numId="3" w16cid:durableId="1286734274">
    <w:abstractNumId w:val="14"/>
  </w:num>
  <w:num w:numId="4" w16cid:durableId="1732075349">
    <w:abstractNumId w:val="32"/>
  </w:num>
  <w:num w:numId="5" w16cid:durableId="292058036">
    <w:abstractNumId w:val="34"/>
  </w:num>
  <w:num w:numId="6" w16cid:durableId="53091788">
    <w:abstractNumId w:val="5"/>
  </w:num>
  <w:num w:numId="7" w16cid:durableId="1150484866">
    <w:abstractNumId w:val="13"/>
  </w:num>
  <w:num w:numId="8" w16cid:durableId="121851955">
    <w:abstractNumId w:val="23"/>
  </w:num>
  <w:num w:numId="9" w16cid:durableId="967785577">
    <w:abstractNumId w:val="19"/>
  </w:num>
  <w:num w:numId="10" w16cid:durableId="450364485">
    <w:abstractNumId w:val="11"/>
  </w:num>
  <w:num w:numId="11" w16cid:durableId="417480508">
    <w:abstractNumId w:val="28"/>
  </w:num>
  <w:num w:numId="12" w16cid:durableId="1114865136">
    <w:abstractNumId w:val="39"/>
  </w:num>
  <w:num w:numId="13" w16cid:durableId="125587719">
    <w:abstractNumId w:val="33"/>
  </w:num>
  <w:num w:numId="14" w16cid:durableId="575213450">
    <w:abstractNumId w:val="1"/>
  </w:num>
  <w:num w:numId="15" w16cid:durableId="2010599505">
    <w:abstractNumId w:val="40"/>
  </w:num>
  <w:num w:numId="16" w16cid:durableId="1226843394">
    <w:abstractNumId w:val="25"/>
  </w:num>
  <w:num w:numId="17" w16cid:durableId="475494440">
    <w:abstractNumId w:val="21"/>
  </w:num>
  <w:num w:numId="18" w16cid:durableId="206528925">
    <w:abstractNumId w:val="35"/>
  </w:num>
  <w:num w:numId="19" w16cid:durableId="1213150644">
    <w:abstractNumId w:val="12"/>
  </w:num>
  <w:num w:numId="20" w16cid:durableId="779027826">
    <w:abstractNumId w:val="43"/>
  </w:num>
  <w:num w:numId="21" w16cid:durableId="1971738303">
    <w:abstractNumId w:val="38"/>
  </w:num>
  <w:num w:numId="22" w16cid:durableId="1614089568">
    <w:abstractNumId w:val="15"/>
  </w:num>
  <w:num w:numId="23" w16cid:durableId="1947300331">
    <w:abstractNumId w:val="16"/>
  </w:num>
  <w:num w:numId="24" w16cid:durableId="1640650076">
    <w:abstractNumId w:val="6"/>
  </w:num>
  <w:num w:numId="25" w16cid:durableId="192688916">
    <w:abstractNumId w:val="20"/>
  </w:num>
  <w:num w:numId="26" w16cid:durableId="1751074463">
    <w:abstractNumId w:val="24"/>
  </w:num>
  <w:num w:numId="27" w16cid:durableId="499736294">
    <w:abstractNumId w:val="27"/>
  </w:num>
  <w:num w:numId="28" w16cid:durableId="1844859959">
    <w:abstractNumId w:val="0"/>
  </w:num>
  <w:num w:numId="29" w16cid:durableId="753284578">
    <w:abstractNumId w:val="22"/>
  </w:num>
  <w:num w:numId="30" w16cid:durableId="1349482647">
    <w:abstractNumId w:val="26"/>
  </w:num>
  <w:num w:numId="31" w16cid:durableId="530187458">
    <w:abstractNumId w:val="3"/>
  </w:num>
  <w:num w:numId="32" w16cid:durableId="278147761">
    <w:abstractNumId w:val="8"/>
  </w:num>
  <w:num w:numId="33" w16cid:durableId="994066681">
    <w:abstractNumId w:val="36"/>
  </w:num>
  <w:num w:numId="34" w16cid:durableId="899680877">
    <w:abstractNumId w:val="42"/>
  </w:num>
  <w:num w:numId="35" w16cid:durableId="52896310">
    <w:abstractNumId w:val="7"/>
  </w:num>
  <w:num w:numId="36" w16cid:durableId="927349963">
    <w:abstractNumId w:val="29"/>
  </w:num>
  <w:num w:numId="37" w16cid:durableId="191387516">
    <w:abstractNumId w:val="41"/>
  </w:num>
  <w:num w:numId="38" w16cid:durableId="1229002866">
    <w:abstractNumId w:val="31"/>
  </w:num>
  <w:num w:numId="39" w16cid:durableId="815299824">
    <w:abstractNumId w:val="30"/>
  </w:num>
  <w:num w:numId="40" w16cid:durableId="1135872103">
    <w:abstractNumId w:val="37"/>
  </w:num>
  <w:num w:numId="41" w16cid:durableId="1522938179">
    <w:abstractNumId w:val="9"/>
  </w:num>
  <w:num w:numId="42" w16cid:durableId="1058430561">
    <w:abstractNumId w:val="2"/>
  </w:num>
  <w:num w:numId="43" w16cid:durableId="1806240122">
    <w:abstractNumId w:val="17"/>
  </w:num>
  <w:num w:numId="44" w16cid:durableId="577596143">
    <w:abstractNumId w:val="1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5CB6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3AA0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45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2B60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0FE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22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831</Words>
  <Characters>4571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GABRIEL EDUARDO GONZALEZ SOTO</cp:lastModifiedBy>
  <cp:revision>4</cp:revision>
  <cp:lastPrinted>2019-12-16T20:10:00Z</cp:lastPrinted>
  <dcterms:created xsi:type="dcterms:W3CDTF">2026-10-18T02:15:00Z</dcterms:created>
  <dcterms:modified xsi:type="dcterms:W3CDTF">2026-10-18T02:35:00Z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