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I7.1-T03 | تحليل التوافق مع رسالة المؤسسة</w:t>
      </w:r>
    </w:p>
    <w:p>
      <w:pPr>
        <w:jc w:val="right"/>
        <w:bidi/>
      </w:pPr>
      <w:r>
        <w:rPr>
          <w:rFonts w:ascii="Arial" w:hAnsi="Arial"/>
          <w:b w:val="0"/>
        </w:rPr>
        <w:t>المؤشر: I7.1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منهجية التحليل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معايير الحكم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طريقة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البيانات المستخدمة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حدود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تحليل التوافق مع رسالة المؤسسة</w:t>
      </w:r>
    </w:p>
    <w:p>
      <w:pPr>
        <w:jc w:val="right"/>
        <w:bidi/>
      </w:pPr>
      <w:r>
        <w:rPr>
          <w:rFonts w:ascii="Arial" w:hAnsi="Arial"/>
          <w:b w:val="0"/>
        </w:rPr>
        <w:t>☐ نموذج التحليل ومعايير الحكم</w:t>
      </w:r>
    </w:p>
    <w:p>
      <w:pPr>
        <w:jc w:val="right"/>
        <w:bidi/>
      </w:pPr>
      <w:r>
        <w:rPr>
          <w:rFonts w:ascii="Arial" w:hAnsi="Arial"/>
          <w:b w:val="0"/>
        </w:rPr>
        <w:t>☐ بيانات ومدخلات التحليل</w:t>
      </w:r>
    </w:p>
    <w:p>
      <w:pPr>
        <w:jc w:val="right"/>
        <w:bidi/>
      </w:pPr>
      <w:r>
        <w:rPr>
          <w:rFonts w:ascii="Arial" w:hAnsi="Arial"/>
          <w:b w:val="0"/>
        </w:rPr>
        <w:t>☐ تقرير النتائج والفجوات والتوصيات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I7.1-T03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I7.1-T03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