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I7.2-T03 | جمع آراء الخريجين والطلاب</w:t>
      </w:r>
    </w:p>
    <w:p>
      <w:pPr>
        <w:jc w:val="right"/>
        <w:bidi/>
      </w:pPr>
      <w:r>
        <w:rPr>
          <w:rFonts w:ascii="Arial" w:hAnsi="Arial"/>
          <w:b w:val="0"/>
        </w:rPr>
        <w:t>المؤشر: I7.2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الدراسة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الفئة المستهدفة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حجم العينة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نسبة الاستجابة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أداة الجمع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النتائج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جمع آراء الخريجين والطلاب</w:t>
      </w:r>
    </w:p>
    <w:p>
      <w:pPr>
        <w:jc w:val="right"/>
        <w:bidi/>
      </w:pPr>
      <w:r>
        <w:rPr>
          <w:rFonts w:ascii="Arial" w:hAnsi="Arial"/>
          <w:b w:val="0"/>
        </w:rPr>
        <w:t>☐ نموذج أداة جمع الآراء المعتمدة</w:t>
      </w:r>
    </w:p>
    <w:p>
      <w:pPr>
        <w:jc w:val="right"/>
        <w:bidi/>
      </w:pPr>
      <w:r>
        <w:rPr>
          <w:rFonts w:ascii="Arial" w:hAnsi="Arial"/>
          <w:b w:val="0"/>
        </w:rPr>
        <w:t>☐ قائمة الفئات ونسب الاستجابة</w:t>
      </w:r>
    </w:p>
    <w:p>
      <w:pPr>
        <w:jc w:val="right"/>
        <w:bidi/>
      </w:pPr>
      <w:r>
        <w:rPr>
          <w:rFonts w:ascii="Arial" w:hAnsi="Arial"/>
          <w:b w:val="0"/>
        </w:rPr>
        <w:t>☐ ملف النتائج الخام</w:t>
      </w:r>
    </w:p>
    <w:p>
      <w:pPr>
        <w:jc w:val="right"/>
        <w:bidi/>
      </w:pPr>
      <w:r>
        <w:rPr>
          <w:rFonts w:ascii="Arial" w:hAnsi="Arial"/>
          <w:b w:val="0"/>
        </w:rPr>
        <w:t>☐ تقرير التحليل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I7.2-T03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I7.2-T03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