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I7.2-T04 | مقارنة برامج مناظرة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مقارنة برامج مناظرة</w:t>
      </w:r>
    </w:p>
    <w:p>
      <w:pPr>
        <w:jc w:val="right"/>
        <w:bidi/>
      </w:pPr>
      <w:r>
        <w:rPr>
          <w:rFonts w:ascii="Arial" w:hAnsi="Arial"/>
          <w:b w:val="0"/>
        </w:rPr>
        <w:t>☐ معايير اختيار البرامج المناظرة</w:t>
      </w:r>
    </w:p>
    <w:p>
      <w:pPr>
        <w:jc w:val="right"/>
        <w:bidi/>
      </w:pPr>
      <w:r>
        <w:rPr>
          <w:rFonts w:ascii="Arial" w:hAnsi="Arial"/>
          <w:b w:val="0"/>
        </w:rPr>
        <w:t>☐ بيانات البرامج محل المقارنة</w:t>
      </w:r>
    </w:p>
    <w:p>
      <w:pPr>
        <w:jc w:val="right"/>
        <w:bidi/>
      </w:pPr>
      <w:r>
        <w:rPr>
          <w:rFonts w:ascii="Arial" w:hAnsi="Arial"/>
          <w:b w:val="0"/>
        </w:rPr>
        <w:t>☐ جدول المقارنة المرجعية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وفرص التطوير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