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I7.2-T05 | تحليل الفجوات</w:t>
      </w:r>
    </w:p>
    <w:p>
      <w:pPr>
        <w:jc w:val="right"/>
        <w:bidi/>
      </w:pPr>
      <w:r>
        <w:rPr>
          <w:rFonts w:ascii="Arial" w:hAnsi="Arial"/>
          <w:b w:val="0"/>
        </w:rPr>
        <w:t>المؤشر: I7.2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الفجوات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I7.2-T05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I7.2-T05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