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I7.2-T08 | قياس أثر التحديث</w:t>
      </w:r>
    </w:p>
    <w:p>
      <w:pPr>
        <w:jc w:val="right"/>
        <w:bidi/>
      </w:pPr>
      <w:r>
        <w:rPr>
          <w:rFonts w:ascii="Arial" w:hAnsi="Arial"/>
          <w:b w:val="0"/>
        </w:rPr>
        <w:t>المؤشر: I7.2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قياس أثر التحديث</w:t>
      </w:r>
    </w:p>
    <w:p>
      <w:pPr>
        <w:jc w:val="right"/>
        <w:bidi/>
      </w:pPr>
      <w:r>
        <w:rPr>
          <w:rFonts w:ascii="Arial" w:hAnsi="Arial"/>
          <w:b w:val="0"/>
        </w:rPr>
        <w:t>☐ خط أساس قبل التنفيذ</w:t>
      </w:r>
    </w:p>
    <w:p>
      <w:pPr>
        <w:jc w:val="right"/>
        <w:bidi/>
      </w:pPr>
      <w:r>
        <w:rPr>
          <w:rFonts w:ascii="Arial" w:hAnsi="Arial"/>
          <w:b w:val="0"/>
        </w:rPr>
        <w:t>☐ مؤشرات قياس الأثر</w:t>
      </w:r>
    </w:p>
    <w:p>
      <w:pPr>
        <w:jc w:val="right"/>
        <w:bidi/>
      </w:pPr>
      <w:r>
        <w:rPr>
          <w:rFonts w:ascii="Arial" w:hAnsi="Arial"/>
          <w:b w:val="0"/>
        </w:rPr>
        <w:t>☐ بيانات القياس بعد التنفيذ</w:t>
      </w:r>
    </w:p>
    <w:p>
      <w:pPr>
        <w:jc w:val="right"/>
        <w:bidi/>
      </w:pPr>
      <w:r>
        <w:rPr>
          <w:rFonts w:ascii="Arial" w:hAnsi="Arial"/>
          <w:b w:val="0"/>
        </w:rPr>
        <w:t>☐ تقرير مقارنة النتائج والاستنتاجات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I7.2-T08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I7.2-T08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