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I7.4-T04 | ربط التعليم بالنواتج</w:t>
      </w:r>
    </w:p>
    <w:p>
      <w:pPr>
        <w:jc w:val="right"/>
        <w:bidi/>
      </w:pPr>
      <w:r>
        <w:rPr>
          <w:rFonts w:ascii="Arial" w:hAnsi="Arial"/>
          <w:b w:val="0"/>
        </w:rPr>
        <w:t>المؤشر: I7.4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ربط التعليم بالنواتج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I7.4-T04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I7.4-T04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