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I7.4-T06 | تحليل الفجوات</w:t>
      </w:r>
    </w:p>
    <w:p>
      <w:pPr>
        <w:jc w:val="right"/>
        <w:bidi/>
      </w:pPr>
      <w:r>
        <w:rPr>
          <w:rFonts w:ascii="Arial" w:hAnsi="Arial"/>
          <w:b w:val="0"/>
        </w:rPr>
        <w:t>المؤشر: I7.4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الفجوات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I7.4-T06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I7.4-T06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