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I7.5-T02 | إعداد الخطة الزمنية</w:t>
      </w:r>
    </w:p>
    <w:p>
      <w:pPr>
        <w:jc w:val="right"/>
        <w:bidi/>
      </w:pPr>
      <w:r>
        <w:rPr>
          <w:rFonts w:ascii="Arial" w:hAnsi="Arial"/>
          <w:b w:val="0"/>
        </w:rPr>
        <w:t>المؤشر: I7.5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إعداد الخطة الزمنية</w:t>
      </w:r>
    </w:p>
    <w:p>
      <w:pPr>
        <w:jc w:val="right"/>
        <w:bidi/>
      </w:pPr>
      <w:r>
        <w:rPr>
          <w:rFonts w:ascii="Arial" w:hAnsi="Arial"/>
          <w:b w:val="0"/>
        </w:rPr>
        <w:t>☐ وثيقة الخطة</w:t>
      </w:r>
    </w:p>
    <w:p>
      <w:pPr>
        <w:jc w:val="right"/>
        <w:bidi/>
      </w:pPr>
      <w:r>
        <w:rPr>
          <w:rFonts w:ascii="Arial" w:hAnsi="Arial"/>
          <w:b w:val="0"/>
        </w:rPr>
        <w:t>☐ الأنشطة والمسؤوليات والمواعيد</w:t>
      </w:r>
    </w:p>
    <w:p>
      <w:pPr>
        <w:jc w:val="right"/>
        <w:bidi/>
      </w:pPr>
      <w:r>
        <w:rPr>
          <w:rFonts w:ascii="Arial" w:hAnsi="Arial"/>
          <w:b w:val="0"/>
        </w:rPr>
        <w:t>☐ مؤشرات المتابعة والقياس</w:t>
      </w:r>
    </w:p>
    <w:p>
      <w:pPr>
        <w:jc w:val="right"/>
        <w:bidi/>
      </w:pPr>
      <w:r>
        <w:rPr>
          <w:rFonts w:ascii="Arial" w:hAnsi="Arial"/>
          <w:b w:val="0"/>
        </w:rPr>
        <w:t>☐ قرار اعتماد الخطة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I7.5-T02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I7.5-T02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