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I7.5-T03 | اختيار المراجعين</w:t>
      </w:r>
    </w:p>
    <w:p>
      <w:pPr>
        <w:jc w:val="right"/>
        <w:bidi/>
      </w:pPr>
      <w:r>
        <w:rPr>
          <w:rFonts w:ascii="Arial" w:hAnsi="Arial"/>
          <w:b w:val="0"/>
        </w:rPr>
        <w:t>المؤشر: I7.5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اختيار المراجعين</w:t>
      </w:r>
    </w:p>
    <w:p>
      <w:pPr>
        <w:jc w:val="right"/>
        <w:bidi/>
      </w:pPr>
      <w:r>
        <w:rPr>
          <w:rFonts w:ascii="Arial" w:hAnsi="Arial"/>
          <w:b w:val="0"/>
        </w:rPr>
        <w:t>☐ معايير اختيار المراجعين</w:t>
      </w:r>
    </w:p>
    <w:p>
      <w:pPr>
        <w:jc w:val="right"/>
        <w:bidi/>
      </w:pPr>
      <w:r>
        <w:rPr>
          <w:rFonts w:ascii="Arial" w:hAnsi="Arial"/>
          <w:b w:val="0"/>
        </w:rPr>
        <w:t>☐ السير الذاتية للمراجعين</w:t>
      </w:r>
    </w:p>
    <w:p>
      <w:pPr>
        <w:jc w:val="right"/>
        <w:bidi/>
      </w:pPr>
      <w:r>
        <w:rPr>
          <w:rFonts w:ascii="Arial" w:hAnsi="Arial"/>
          <w:b w:val="0"/>
        </w:rPr>
        <w:t>☐ إقرارات عدم تعارض المصالح</w:t>
      </w:r>
    </w:p>
    <w:p>
      <w:pPr>
        <w:jc w:val="right"/>
        <w:bidi/>
      </w:pPr>
      <w:r>
        <w:rPr>
          <w:rFonts w:ascii="Arial" w:hAnsi="Arial"/>
          <w:b w:val="0"/>
        </w:rPr>
        <w:t>☐ قرار التكليف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I7.5-T03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I7.5-T03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