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I7.5-T04 | تنفيذ المراجعات</w:t>
      </w:r>
    </w:p>
    <w:p>
      <w:pPr>
        <w:jc w:val="right"/>
        <w:bidi/>
      </w:pPr>
      <w:r>
        <w:rPr>
          <w:rFonts w:ascii="Arial" w:hAnsi="Arial"/>
          <w:b w:val="0"/>
        </w:rPr>
        <w:t>المؤشر: I7.5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تنفيذ المراجعات</w:t>
      </w:r>
    </w:p>
    <w:p>
      <w:pPr>
        <w:jc w:val="right"/>
        <w:bidi/>
      </w:pPr>
      <w:r>
        <w:rPr>
          <w:rFonts w:ascii="Arial" w:hAnsi="Arial"/>
          <w:b w:val="0"/>
        </w:rPr>
        <w:t>☐ خطة التنفيذ المعتمدة</w:t>
      </w:r>
    </w:p>
    <w:p>
      <w:pPr>
        <w:jc w:val="right"/>
        <w:bidi/>
      </w:pPr>
      <w:r>
        <w:rPr>
          <w:rFonts w:ascii="Arial" w:hAnsi="Arial"/>
          <w:b w:val="0"/>
        </w:rPr>
        <w:t>☐ سجل الأنشطة المنفذة</w:t>
      </w:r>
    </w:p>
    <w:p>
      <w:pPr>
        <w:jc w:val="right"/>
        <w:bidi/>
      </w:pPr>
      <w:r>
        <w:rPr>
          <w:rFonts w:ascii="Arial" w:hAnsi="Arial"/>
          <w:b w:val="0"/>
        </w:rPr>
        <w:t>☐ مخرجات التنفيذ</w:t>
      </w:r>
    </w:p>
    <w:p>
      <w:pPr>
        <w:jc w:val="right"/>
        <w:bidi/>
      </w:pPr>
      <w:r>
        <w:rPr>
          <w:rFonts w:ascii="Arial" w:hAnsi="Arial"/>
          <w:b w:val="0"/>
        </w:rPr>
        <w:t>☐ تقرير المتابعة والانحرافات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I7.5-T04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I7.5-T04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