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I7.5-T06 | إغلاق الملاحظات</w:t>
      </w:r>
    </w:p>
    <w:p>
      <w:pPr>
        <w:jc w:val="right"/>
        <w:bidi/>
      </w:pPr>
      <w:r>
        <w:rPr>
          <w:rFonts w:ascii="Arial" w:hAnsi="Arial"/>
          <w:b w:val="0"/>
        </w:rPr>
        <w:t>المؤشر: I7.5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إغلاق الملاحظات</w:t>
      </w:r>
    </w:p>
    <w:p>
      <w:pPr>
        <w:jc w:val="right"/>
        <w:bidi/>
      </w:pPr>
      <w:r>
        <w:rPr>
          <w:rFonts w:ascii="Arial" w:hAnsi="Arial"/>
          <w:b w:val="0"/>
        </w:rPr>
        <w:t>☐ سجل الملاحظات المطلوب إغلاقها</w:t>
      </w:r>
    </w:p>
    <w:p>
      <w:pPr>
        <w:jc w:val="right"/>
        <w:bidi/>
      </w:pPr>
      <w:r>
        <w:rPr>
          <w:rFonts w:ascii="Arial" w:hAnsi="Arial"/>
          <w:b w:val="0"/>
        </w:rPr>
        <w:t>☐ الإجراءات التصحيحية المنفذة</w:t>
      </w:r>
    </w:p>
    <w:p>
      <w:pPr>
        <w:jc w:val="right"/>
        <w:bidi/>
      </w:pPr>
      <w:r>
        <w:rPr>
          <w:rFonts w:ascii="Arial" w:hAnsi="Arial"/>
          <w:b w:val="0"/>
        </w:rPr>
        <w:t>☐ أدلة التنفيذ لكل ملاحظة</w:t>
      </w:r>
    </w:p>
    <w:p>
      <w:pPr>
        <w:jc w:val="right"/>
        <w:bidi/>
      </w:pPr>
      <w:r>
        <w:rPr>
          <w:rFonts w:ascii="Arial" w:hAnsi="Arial"/>
          <w:b w:val="0"/>
        </w:rPr>
        <w:t>☐ تحقق المراجع من الإغلاق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I7.5-T06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I7.5-T06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