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I7.6-T02 | مراجعة تقارير المقررات</w:t>
      </w:r>
    </w:p>
    <w:p>
      <w:pPr>
        <w:jc w:val="right"/>
        <w:bidi/>
      </w:pPr>
      <w:r>
        <w:rPr>
          <w:rFonts w:ascii="Arial" w:hAnsi="Arial"/>
          <w:b w:val="0"/>
        </w:rPr>
        <w:t>المؤشر: I7.6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مراجعة تقارير المقررات</w:t>
      </w:r>
    </w:p>
    <w:p>
      <w:pPr>
        <w:jc w:val="right"/>
        <w:bidi/>
      </w:pPr>
      <w:r>
        <w:rPr>
          <w:rFonts w:ascii="Arial" w:hAnsi="Arial"/>
          <w:b w:val="0"/>
        </w:rPr>
        <w:t>☐ خطة أو قائمة تحقق المراجعة</w:t>
      </w:r>
    </w:p>
    <w:p>
      <w:pPr>
        <w:jc w:val="right"/>
        <w:bidi/>
      </w:pPr>
      <w:r>
        <w:rPr>
          <w:rFonts w:ascii="Arial" w:hAnsi="Arial"/>
          <w:b w:val="0"/>
        </w:rPr>
        <w:t>☐ نسخة الوثيقة قبل المراجعة</w:t>
      </w:r>
    </w:p>
    <w:p>
      <w:pPr>
        <w:jc w:val="right"/>
        <w:bidi/>
      </w:pPr>
      <w:r>
        <w:rPr>
          <w:rFonts w:ascii="Arial" w:hAnsi="Arial"/>
          <w:b w:val="0"/>
        </w:rPr>
        <w:t>☐ ملاحظات المراجع</w:t>
      </w:r>
    </w:p>
    <w:p>
      <w:pPr>
        <w:jc w:val="right"/>
        <w:bidi/>
      </w:pPr>
      <w:r>
        <w:rPr>
          <w:rFonts w:ascii="Arial" w:hAnsi="Arial"/>
          <w:b w:val="0"/>
        </w:rPr>
        <w:t>☐ النسخة المعدلة بعد المراجعة</w:t>
      </w:r>
    </w:p>
    <w:p>
      <w:pPr>
        <w:jc w:val="right"/>
        <w:bidi/>
      </w:pPr>
      <w:r>
        <w:rPr>
          <w:rFonts w:ascii="Arial" w:hAnsi="Arial"/>
          <w:b w:val="0"/>
        </w:rPr>
        <w:t>☐ محضر إغلاق الملاحظات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I7.6-T02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I7.6-T02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