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I7.6-T07 | متابعة التنفيذ</w:t>
      </w:r>
    </w:p>
    <w:p>
      <w:pPr>
        <w:jc w:val="right"/>
        <w:bidi/>
      </w:pPr>
      <w:r>
        <w:rPr>
          <w:rFonts w:ascii="Arial" w:hAnsi="Arial"/>
          <w:b w:val="0"/>
        </w:rPr>
        <w:t>المؤشر: I7.6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متابعة التنفيذ</w:t>
      </w:r>
    </w:p>
    <w:p>
      <w:pPr>
        <w:jc w:val="right"/>
        <w:bidi/>
      </w:pPr>
      <w:r>
        <w:rPr>
          <w:rFonts w:ascii="Arial" w:hAnsi="Arial"/>
          <w:b w:val="0"/>
        </w:rPr>
        <w:t>☐ خطة التنفيذ المعتمدة</w:t>
      </w:r>
    </w:p>
    <w:p>
      <w:pPr>
        <w:jc w:val="right"/>
        <w:bidi/>
      </w:pPr>
      <w:r>
        <w:rPr>
          <w:rFonts w:ascii="Arial" w:hAnsi="Arial"/>
          <w:b w:val="0"/>
        </w:rPr>
        <w:t>☐ سجل الأنشطة المنفذة</w:t>
      </w:r>
    </w:p>
    <w:p>
      <w:pPr>
        <w:jc w:val="right"/>
        <w:bidi/>
      </w:pPr>
      <w:r>
        <w:rPr>
          <w:rFonts w:ascii="Arial" w:hAnsi="Arial"/>
          <w:b w:val="0"/>
        </w:rPr>
        <w:t>☐ مخرجات التنفيذ</w:t>
      </w:r>
    </w:p>
    <w:p>
      <w:pPr>
        <w:jc w:val="right"/>
        <w:bidi/>
      </w:pPr>
      <w:r>
        <w:rPr>
          <w:rFonts w:ascii="Arial" w:hAnsi="Arial"/>
          <w:b w:val="0"/>
        </w:rPr>
        <w:t>☐ تقرير المتابعة والانحرافات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I7.6-T07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I7.6-T07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