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P2.1-T01 | تحديد NARS/ARS ومصدرها</w:t>
      </w:r>
    </w:p>
    <w:p>
      <w:pPr>
        <w:jc w:val="right"/>
        <w:bidi/>
      </w:pPr>
      <w:r>
        <w:rPr>
          <w:rFonts w:ascii="Arial" w:hAnsi="Arial"/>
          <w:b w:val="0"/>
        </w:rPr>
        <w:t>المؤشر: P2.1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تحديد NARS/ARS ومصدرها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من المصدر الرسمي</w:t>
      </w:r>
    </w:p>
    <w:p>
      <w:pPr>
        <w:jc w:val="right"/>
        <w:bidi/>
      </w:pPr>
      <w:r>
        <w:rPr>
          <w:rFonts w:ascii="Arial" w:hAnsi="Arial"/>
          <w:b w:val="0"/>
        </w:rPr>
        <w:t>☐ رابط المصدر وتاريخ التحميل</w:t>
      </w:r>
    </w:p>
    <w:p>
      <w:pPr>
        <w:jc w:val="right"/>
        <w:bidi/>
      </w:pPr>
      <w:r>
        <w:rPr>
          <w:rFonts w:ascii="Arial" w:hAnsi="Arial"/>
          <w:b w:val="0"/>
        </w:rPr>
        <w:t>☐ بطاقة ضبط الإصدار والنسخة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P2.1-T01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P2.1-T01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