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P2.2-T01 | مراجعة الرسالة</w:t>
      </w:r>
    </w:p>
    <w:p>
      <w:pPr>
        <w:jc w:val="right"/>
        <w:bidi/>
      </w:pPr>
      <w:r>
        <w:rPr>
          <w:rFonts w:ascii="Arial" w:hAnsi="Arial"/>
          <w:b w:val="0"/>
        </w:rPr>
        <w:t>المؤشر: P2.2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مراجعة الرسالة</w:t>
      </w:r>
    </w:p>
    <w:p>
      <w:pPr>
        <w:jc w:val="right"/>
        <w:bidi/>
      </w:pPr>
      <w:r>
        <w:rPr>
          <w:rFonts w:ascii="Arial" w:hAnsi="Arial"/>
          <w:b w:val="0"/>
        </w:rPr>
        <w:t>☐ خطة أو قائمة تحقق المراجعة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قبل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</w:t>
      </w:r>
    </w:p>
    <w:p>
      <w:pPr>
        <w:jc w:val="right"/>
        <w:bidi/>
      </w:pPr>
      <w:r>
        <w:rPr>
          <w:rFonts w:ascii="Arial" w:hAnsi="Arial"/>
          <w:b w:val="0"/>
        </w:rPr>
        <w:t>☐ النسخة المعدلة بعد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محضر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P2.2-T01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P2.2-T01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