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P2.2-T02 | صياغة Program Aims</w:t>
      </w:r>
    </w:p>
    <w:p>
      <w:pPr>
        <w:jc w:val="right"/>
        <w:bidi/>
      </w:pPr>
      <w:r>
        <w:rPr>
          <w:rFonts w:ascii="Arial" w:hAnsi="Arial"/>
          <w:b w:val="0"/>
        </w:rPr>
        <w:t>المؤشر: P2.2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صياغة Program Aims</w:t>
      </w:r>
    </w:p>
    <w:p>
      <w:pPr>
        <w:jc w:val="right"/>
        <w:bidi/>
      </w:pPr>
      <w:r>
        <w:rPr>
          <w:rFonts w:ascii="Arial" w:hAnsi="Arial"/>
          <w:b w:val="0"/>
        </w:rPr>
        <w:t>☐ مسودة الصياغة الأولى</w:t>
      </w:r>
    </w:p>
    <w:p>
      <w:pPr>
        <w:jc w:val="right"/>
        <w:bidi/>
      </w:pPr>
      <w:r>
        <w:rPr>
          <w:rFonts w:ascii="Arial" w:hAnsi="Arial"/>
          <w:b w:val="0"/>
        </w:rPr>
        <w:t>☐ مرجعيات الصياغة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الأطراف المعنية</w:t>
      </w:r>
    </w:p>
    <w:p>
      <w:pPr>
        <w:jc w:val="right"/>
        <w:bidi/>
      </w:pPr>
      <w:r>
        <w:rPr>
          <w:rFonts w:ascii="Arial" w:hAnsi="Arial"/>
          <w:b w:val="0"/>
        </w:rPr>
        <w:t>☐ الصياغة النهائية المعتمدة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P2.2-T02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P2.2-T02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