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P2.2-T03 | مواءمة الأهداف مع الرسالة</w:t>
      </w:r>
    </w:p>
    <w:p>
      <w:pPr>
        <w:jc w:val="right"/>
        <w:bidi/>
      </w:pPr>
      <w:r>
        <w:rPr>
          <w:rFonts w:ascii="Arial" w:hAnsi="Arial"/>
          <w:b w:val="0"/>
        </w:rPr>
        <w:t>المؤشر: P2.2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مواءمة الأهداف مع الرسالة</w:t>
      </w:r>
    </w:p>
    <w:p>
      <w:pPr>
        <w:jc w:val="right"/>
        <w:bidi/>
      </w:pPr>
      <w:r>
        <w:rPr>
          <w:rFonts w:ascii="Arial" w:hAnsi="Arial"/>
          <w:b w:val="0"/>
        </w:rPr>
        <w:t>☐ نسخة الرسالة المعتمدة</w:t>
      </w:r>
    </w:p>
    <w:p>
      <w:pPr>
        <w:jc w:val="right"/>
        <w:bidi/>
      </w:pPr>
      <w:r>
        <w:rPr>
          <w:rFonts w:ascii="Arial" w:hAnsi="Arial"/>
          <w:b w:val="0"/>
        </w:rPr>
        <w:t>☐ محضر مراجعة الرسالة</w:t>
      </w:r>
    </w:p>
    <w:p>
      <w:pPr>
        <w:jc w:val="right"/>
        <w:bidi/>
      </w:pPr>
      <w:r>
        <w:rPr>
          <w:rFonts w:ascii="Arial" w:hAnsi="Arial"/>
          <w:b w:val="0"/>
        </w:rPr>
        <w:t>☐ مصفوفة الارتباط بالأهداف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P2.2-T03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P2.2-T03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