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P2.3-T04 | تحليل التوازن النظري والتطبيقي</w:t>
      </w:r>
    </w:p>
    <w:p>
      <w:pPr>
        <w:jc w:val="right"/>
        <w:bidi/>
      </w:pPr>
      <w:r>
        <w:rPr>
          <w:rFonts w:ascii="Arial" w:hAnsi="Arial"/>
          <w:b w:val="0"/>
        </w:rPr>
        <w:t>المؤشر: P2.3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التوازن النظري والتطبيقي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P2.3-T04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P2.3-T04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