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P2.4-T01 | إعداد الاستراتيجية</w:t>
      </w:r>
    </w:p>
    <w:p>
      <w:pPr>
        <w:jc w:val="right"/>
        <w:bidi/>
      </w:pPr>
      <w:r>
        <w:rPr>
          <w:rFonts w:ascii="Arial" w:hAnsi="Arial"/>
          <w:b w:val="0"/>
        </w:rPr>
        <w:t>المؤشر: P2.4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إعداد الاستراتيجية</w:t>
      </w:r>
    </w:p>
    <w:p>
      <w:pPr>
        <w:jc w:val="right"/>
        <w:bidi/>
      </w:pPr>
      <w:r>
        <w:rPr>
          <w:rFonts w:ascii="Arial" w:hAnsi="Arial"/>
          <w:b w:val="0"/>
        </w:rPr>
        <w:t>☐ مسودة السياسة أو الآلية</w:t>
      </w:r>
    </w:p>
    <w:p>
      <w:pPr>
        <w:jc w:val="right"/>
        <w:bidi/>
      </w:pPr>
      <w:r>
        <w:rPr>
          <w:rFonts w:ascii="Arial" w:hAnsi="Arial"/>
          <w:b w:val="0"/>
        </w:rPr>
        <w:t>☐ مرجعيات إعداد الوثيقة</w:t>
      </w:r>
    </w:p>
    <w:p>
      <w:pPr>
        <w:jc w:val="right"/>
        <w:bidi/>
      </w:pPr>
      <w:r>
        <w:rPr>
          <w:rFonts w:ascii="Arial" w:hAnsi="Arial"/>
          <w:b w:val="0"/>
        </w:rPr>
        <w:t>☐ محضر مناقشة الوثيقة</w:t>
      </w:r>
    </w:p>
    <w:p>
      <w:pPr>
        <w:jc w:val="right"/>
        <w:bidi/>
      </w:pPr>
      <w:r>
        <w:rPr>
          <w:rFonts w:ascii="Arial" w:hAnsi="Arial"/>
          <w:b w:val="0"/>
        </w:rPr>
        <w:t>☐ النسخة المعتمدة</w:t>
      </w:r>
    </w:p>
    <w:p>
      <w:pPr>
        <w:jc w:val="right"/>
        <w:bidi/>
      </w:pPr>
      <w:r>
        <w:rPr>
          <w:rFonts w:ascii="Arial" w:hAnsi="Arial"/>
          <w:b w:val="0"/>
        </w:rPr>
        <w:t>☐ دليل الإعلان والتطبيق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P2.4-T01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P2.4-T01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