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P2.4-T03 | ربط التعليم بالمخرجات</w:t>
      </w:r>
    </w:p>
    <w:p>
      <w:pPr>
        <w:jc w:val="right"/>
        <w:bidi/>
      </w:pPr>
      <w:r>
        <w:rPr>
          <w:rFonts w:ascii="Arial" w:hAnsi="Arial"/>
          <w:b w:val="0"/>
        </w:rPr>
        <w:t>المؤشر: P2.4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ربط التعليم بالمخرجات</w:t>
      </w:r>
    </w:p>
    <w:p>
      <w:pPr>
        <w:jc w:val="right"/>
        <w:bidi/>
      </w:pPr>
      <w:r>
        <w:rPr>
          <w:rFonts w:ascii="Arial" w:hAnsi="Arial"/>
          <w:b w:val="0"/>
        </w:rPr>
        <w:t>☐ وثائق ومدخلات تنفيذ المهمة</w:t>
      </w:r>
    </w:p>
    <w:p>
      <w:pPr>
        <w:jc w:val="right"/>
        <w:bidi/>
      </w:pPr>
      <w:r>
        <w:rPr>
          <w:rFonts w:ascii="Arial" w:hAnsi="Arial"/>
          <w:b w:val="0"/>
        </w:rPr>
        <w:t>☐ نسخة العمل الناتجة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محضر أو قرار اعتماد الناتج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P2.4-T03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P2.4-T03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