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P2.5-T01 | استكمال نموذج التوصيف</w:t>
      </w:r>
    </w:p>
    <w:p>
      <w:pPr>
        <w:jc w:val="right"/>
        <w:bidi/>
      </w:pPr>
      <w:r>
        <w:rPr>
          <w:rFonts w:ascii="Arial" w:hAnsi="Arial"/>
          <w:b w:val="0"/>
        </w:rPr>
        <w:t>المؤشر: P2.5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استكمال نموذج التوصيف</w:t>
      </w:r>
    </w:p>
    <w:p>
      <w:pPr>
        <w:jc w:val="right"/>
        <w:bidi/>
      </w:pPr>
      <w:r>
        <w:rPr>
          <w:rFonts w:ascii="Arial" w:hAnsi="Arial"/>
          <w:b w:val="0"/>
        </w:rPr>
        <w:t>☐ نموذج التوصيف الساري</w:t>
      </w:r>
    </w:p>
    <w:p>
      <w:pPr>
        <w:jc w:val="right"/>
        <w:bidi/>
      </w:pPr>
      <w:r>
        <w:rPr>
          <w:rFonts w:ascii="Arial" w:hAnsi="Arial"/>
          <w:b w:val="0"/>
        </w:rPr>
        <w:t>☐ نسخة التوصيف المكتملة</w:t>
      </w:r>
    </w:p>
    <w:p>
      <w:pPr>
        <w:jc w:val="right"/>
        <w:bidi/>
      </w:pPr>
      <w:r>
        <w:rPr>
          <w:rFonts w:ascii="Arial" w:hAnsi="Arial"/>
          <w:b w:val="0"/>
        </w:rPr>
        <w:t>☐ قائمة تحقق المراجعة الفنية</w:t>
      </w:r>
    </w:p>
    <w:p>
      <w:pPr>
        <w:jc w:val="right"/>
        <w:bidi/>
      </w:pPr>
      <w:r>
        <w:rPr>
          <w:rFonts w:ascii="Arial" w:hAnsi="Arial"/>
          <w:b w:val="0"/>
        </w:rPr>
        <w:t>☐ قرار اعتماد التوصيف</w:t>
      </w:r>
    </w:p>
    <w:p>
      <w:pPr>
        <w:jc w:val="right"/>
        <w:bidi/>
      </w:pPr>
      <w:r>
        <w:rPr>
          <w:rFonts w:ascii="Arial" w:hAnsi="Arial"/>
          <w:b w:val="0"/>
        </w:rPr>
        <w:t>☐ دليل إعلان النسخة المعتمدة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P2.5-T01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P2.5-T01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