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P2.5-T04 | اعتماد التوصيف</w:t>
      </w:r>
    </w:p>
    <w:p>
      <w:pPr>
        <w:jc w:val="right"/>
        <w:bidi/>
      </w:pPr>
      <w:r>
        <w:rPr>
          <w:rFonts w:ascii="Arial" w:hAnsi="Arial"/>
          <w:b w:val="0"/>
        </w:rPr>
        <w:t>المؤشر: P2.5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التوصيف</w:t>
      </w:r>
    </w:p>
    <w:p>
      <w:pPr>
        <w:jc w:val="right"/>
        <w:bidi/>
      </w:pPr>
      <w:r>
        <w:rPr>
          <w:rFonts w:ascii="Arial" w:hAnsi="Arial"/>
          <w:b w:val="0"/>
        </w:rPr>
        <w:t>☐ نموذج التوصيف الساري</w:t>
      </w:r>
    </w:p>
    <w:p>
      <w:pPr>
        <w:jc w:val="right"/>
        <w:bidi/>
      </w:pPr>
      <w:r>
        <w:rPr>
          <w:rFonts w:ascii="Arial" w:hAnsi="Arial"/>
          <w:b w:val="0"/>
        </w:rPr>
        <w:t>☐ نسخة التوصيف المكتملة</w:t>
      </w:r>
    </w:p>
    <w:p>
      <w:pPr>
        <w:jc w:val="right"/>
        <w:bidi/>
      </w:pPr>
      <w:r>
        <w:rPr>
          <w:rFonts w:ascii="Arial" w:hAnsi="Arial"/>
          <w:b w:val="0"/>
        </w:rPr>
        <w:t>☐ قائمة تحقق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قرار اعتماد التوصيف</w:t>
      </w:r>
    </w:p>
    <w:p>
      <w:pPr>
        <w:jc w:val="right"/>
        <w:bidi/>
      </w:pPr>
      <w:r>
        <w:rPr>
          <w:rFonts w:ascii="Arial" w:hAnsi="Arial"/>
          <w:b w:val="0"/>
        </w:rPr>
        <w:t>☐ دليل إعلان النسخة المعتمدة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P2.5-T04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P2.5-T04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