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P2.6-T02 | PLO–Courses Matrix</w:t>
      </w:r>
    </w:p>
    <w:p>
      <w:pPr>
        <w:jc w:val="right"/>
        <w:bidi/>
      </w:pPr>
      <w:r>
        <w:rPr>
          <w:rFonts w:ascii="Arial" w:hAnsi="Arial"/>
          <w:b w:val="0"/>
        </w:rPr>
        <w:t>المؤشر: P2.6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PLO–Courses Matrix</w:t>
      </w:r>
    </w:p>
    <w:p>
      <w:pPr>
        <w:jc w:val="right"/>
        <w:bidi/>
      </w:pPr>
      <w:r>
        <w:rPr>
          <w:rFonts w:ascii="Arial" w:hAnsi="Arial"/>
          <w:b w:val="0"/>
        </w:rPr>
        <w:t>☐ قائمة الأكواد والتعاريف المستخدمة</w:t>
      </w:r>
    </w:p>
    <w:p>
      <w:pPr>
        <w:jc w:val="right"/>
        <w:bidi/>
      </w:pPr>
      <w:r>
        <w:rPr>
          <w:rFonts w:ascii="Arial" w:hAnsi="Arial"/>
          <w:b w:val="0"/>
        </w:rPr>
        <w:t>☐ نسخة المصفوفة المكتملة</w:t>
      </w:r>
    </w:p>
    <w:p>
      <w:pPr>
        <w:jc w:val="right"/>
        <w:bidi/>
      </w:pPr>
      <w:r>
        <w:rPr>
          <w:rFonts w:ascii="Arial" w:hAnsi="Arial"/>
          <w:b w:val="0"/>
        </w:rPr>
        <w:t>☐ تقرير تحليل التغطية والفجوات</w:t>
      </w:r>
    </w:p>
    <w:p>
      <w:pPr>
        <w:jc w:val="right"/>
        <w:bidi/>
      </w:pPr>
      <w:r>
        <w:rPr>
          <w:rFonts w:ascii="Arial" w:hAnsi="Arial"/>
          <w:b w:val="0"/>
        </w:rPr>
        <w:t>☐ محضر المراجعة الفنية للمصفوفة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P2.6-T02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P2.6-T02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