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P2.8-T04 | مناقشة التقييم المستمر</w:t>
      </w:r>
    </w:p>
    <w:p>
      <w:pPr>
        <w:jc w:val="right"/>
        <w:bidi/>
      </w:pPr>
      <w:r>
        <w:rPr>
          <w:rFonts w:ascii="Arial" w:hAnsi="Arial"/>
          <w:b w:val="0"/>
        </w:rPr>
        <w:t>المؤشر: P2.8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مناقشة التقييم المستمر</w:t>
      </w:r>
    </w:p>
    <w:p>
      <w:pPr>
        <w:jc w:val="right"/>
        <w:bidi/>
      </w:pPr>
      <w:r>
        <w:rPr>
          <w:rFonts w:ascii="Arial" w:hAnsi="Arial"/>
          <w:b w:val="0"/>
        </w:rPr>
        <w:t>☐ جدول أعمال الاجتماع</w:t>
      </w:r>
    </w:p>
    <w:p>
      <w:pPr>
        <w:jc w:val="right"/>
        <w:bidi/>
      </w:pPr>
      <w:r>
        <w:rPr>
          <w:rFonts w:ascii="Arial" w:hAnsi="Arial"/>
          <w:b w:val="0"/>
        </w:rPr>
        <w:t>☐ العرض أو وثيقة المناقشة</w:t>
      </w:r>
    </w:p>
    <w:p>
      <w:pPr>
        <w:jc w:val="right"/>
        <w:bidi/>
      </w:pPr>
      <w:r>
        <w:rPr>
          <w:rFonts w:ascii="Arial" w:hAnsi="Arial"/>
          <w:b w:val="0"/>
        </w:rPr>
        <w:t>☐ كشف الحضور</w:t>
      </w:r>
    </w:p>
    <w:p>
      <w:pPr>
        <w:jc w:val="right"/>
        <w:bidi/>
      </w:pPr>
      <w:r>
        <w:rPr>
          <w:rFonts w:ascii="Arial" w:hAnsi="Arial"/>
          <w:b w:val="0"/>
        </w:rPr>
        <w:t>☐ محضر المناقشة والقرارات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P2.8-T04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P2.8-T04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