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highlight w:val="none"/>
        </w:rPr>
      </w:pPr>
      <w:r>
        <w:t xml:space="preserve">Jonathan Morgado-Samagaio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 xml:space="preserve">G1</w:t>
      </w:r>
      <w:r>
        <w:rPr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TP1 CII</w:t>
      </w:r>
      <w:r>
        <w:rPr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/>
    </w:p>
    <w:p>
      <w:pPr>
        <w:jc w:val="center"/>
        <w:spacing w:line="240" w:lineRule="auto"/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jc w:val="left"/>
        <w:spacing w:line="240" w:lineRule="auto"/>
        <w:rPr>
          <w:highlight w:val="none"/>
        </w:rPr>
      </w:pPr>
      <w:r>
        <w:rPr>
          <w:highlight w:val="none"/>
        </w:rPr>
        <w:t xml:space="preserve">Trace d’execution : </w:t>
      </w:r>
      <w:r/>
    </w:p>
    <w:p>
      <w:pPr>
        <w:jc w:val="left"/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52387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94091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86200" cy="5238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6.0pt;height:412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2022-02-09T15:15:51Z</dcterms:modified>
</cp:coreProperties>
</file>