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0"/>
          <w:szCs w:val="40"/>
        </w:rPr>
        <w:t xml:space="preserve">Relatório Técnico de Avaliação</w:t>
      </w:r>
    </w:p>
    <w:p>
      <w:r>
        <w:t xml:space="preserve">Este documento apresenta a </w:t>
      </w:r>
      <w:r>
        <w:rPr>
          <w:b/>
          <w:bCs/>
        </w:rPr>
        <w:t xml:space="preserve">avaliação completa</w:t>
      </w:r>
      <w:r>
        <w:t xml:space="preserve"> do sistema de </w:t>
      </w:r>
      <w:r>
        <w:rPr>
          <w:i/>
          <w:iCs/>
        </w:rPr>
        <w:t xml:space="preserve">gestão integrada</w:t>
      </w:r>
      <w:r>
        <w:t xml:space="preserve">, com base nos indicadores de desempenho acompanhados ao longo do ano e nas entrevistas realizadas com as equipes envolvidas.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Medir a satisfação dos usuários</w:t>
      </w:r>
    </w:p>
    <w:p>
      <w:pPr>
        <w:pStyle w:val="ListParagraph"/>
        <w:numPr>
          <w:ilvl w:val="0"/>
          <w:numId w:val="2"/>
        </w:numPr>
      </w:pPr>
      <w:r>
        <w:t xml:space="preserve">Identificar gargalos operacionais</w:t>
      </w:r>
    </w:p>
    <w:p>
      <w:pPr>
        <w:pStyle w:val="ListParagraph"/>
        <w:numPr>
          <w:ilvl w:val="0"/>
          <w:numId w:val="2"/>
        </w:numPr>
      </w:pPr>
      <w:r>
        <w:t xml:space="preserve">Propor melhorias priorizadas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Etapas</w:t>
      </w:r>
    </w:p>
    <w:p>
      <w:pPr>
        <w:pStyle w:val="ListParagraph"/>
        <w:numPr>
          <w:ilvl w:val="0"/>
          <w:numId w:val="3"/>
        </w:numPr>
      </w:pPr>
      <w:r>
        <w:t xml:space="preserve">Coleta de dados nas unidades</w:t>
      </w:r>
    </w:p>
    <w:p>
      <w:pPr>
        <w:pStyle w:val="ListParagraph"/>
        <w:numPr>
          <w:ilvl w:val="0"/>
          <w:numId w:val="3"/>
        </w:numPr>
      </w:pPr>
      <w:r>
        <w:t xml:space="preserve">Consolidação e análise estatística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Resultados por região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Região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Atendimentos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Satisfação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1.250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92%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Sudeste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3.480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88%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Nordeste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2.105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85%</w:t>
            </w:r>
          </w:p>
        </w:tc>
      </w:tr>
    </w:tbl>
    <w:p/>
    <w:p>
      <w:r>
        <w:t xml:space="preserve">Mais detalhes estão disponíveis no </w:t>
      </w:r>
      <w:hyperlink w:history="1" r:id="rIddruk-gwhgymyoft32k37r">
        <w:r>
          <w:rPr>
            <w:rStyle w:val="Hyperlink"/>
          </w:rPr>
          <w:t xml:space="preserve">portal oficial</w:t>
        </w:r>
      </w:hyperlink>
      <w:r>
        <w:t xml:space="preserve">.</w:t>
      </w:r>
    </w:p>
    <w:p>
      <w:r>
        <w:drawing>
          <wp:inline distT="0" distB="0" distL="0" distR="0">
            <wp:extent cx="42862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/>
          <w:bCs/>
          <w:sz w:val="30"/>
          <w:szCs w:val="30"/>
        </w:rPr>
        <w:t xml:space="preserve">Análise detalhada</w:t>
      </w:r>
    </w:p>
    <w:p>
      <w:pPr>
        <w:spacing w:after="160"/>
      </w:pPr>
      <w:r>
        <w:t xml:space="preserve">Bloco 1: A análise considerou os dados coletados entre janeiro e setembro, comparando o desempenho das equipes regionais com as metas definidas no planejamento estratégico.</w:t>
      </w:r>
    </w:p>
    <w:p>
      <w:pPr>
        <w:spacing w:after="160"/>
      </w:pPr>
      <w:r>
        <w:t xml:space="preserve">Bloco 2: Os resultados indicam crescimento consistente nas regiões Sul e Sudeste, enquanto o Nordeste apresentou estabilidade, com pequenas variações sazonais ao longo do período.</w:t>
      </w:r>
    </w:p>
    <w:p>
      <w:pPr>
        <w:spacing w:after="160"/>
      </w:pPr>
      <w:r>
        <w:t xml:space="preserve">Bloco 3: Recomenda-se ampliar o acompanhamento mensal dos indicadores e revisar os processos de atendimento, priorizando os canais digitais que concentram a maior parte das solicitações.</w:t>
      </w:r>
    </w:p>
    <w:p>
      <w:pPr>
        <w:spacing w:after="160"/>
      </w:pPr>
      <w:r>
        <w:t xml:space="preserve">Bloco 4: Por fim, a equipe técnica sugere a criação de um painel integrado, reunindo informações financeiras e operacionais, para apoiar decisões rápidas e bem fundamentadas.</w:t>
      </w:r>
    </w:p>
    <w:p>
      <w:pPr>
        <w:spacing w:after="160"/>
      </w:pPr>
      <w:r>
        <w:t xml:space="preserve">Bloco 5: A análise considerou os dados coletados entre janeiro e setembro, comparando o desempenho das equipes regionais com as metas definidas no planejamento estratégico.</w:t>
      </w:r>
    </w:p>
    <w:p>
      <w:pPr>
        <w:spacing w:after="160"/>
      </w:pPr>
      <w:r>
        <w:t xml:space="preserve">Bloco 6: Os resultados indicam crescimento consistente nas regiões Sul e Sudeste, enquanto o Nordeste apresentou estabilidade, com pequenas variações sazonais ao longo do período.</w:t>
      </w:r>
    </w:p>
    <w:p>
      <w:pPr>
        <w:spacing w:after="160"/>
      </w:pPr>
      <w:r>
        <w:t xml:space="preserve">Bloco 7: Recomenda-se ampliar o acompanhamento mensal dos indicadores e revisar os processos de atendimento, priorizando os canais digitais que concentram a maior parte das solicitações.</w:t>
      </w:r>
    </w:p>
    <w:p>
      <w:pPr>
        <w:spacing w:after="160"/>
      </w:pPr>
      <w:r>
        <w:t xml:space="preserve">Bloco 8: Por fim, a equipe técnica sugere a criação de um painel integrado, reunindo informações financeiras e operacionais, para apoiar decisões rápidas e bem fundamentadas.</w:t>
      </w:r>
    </w:p>
    <w:p>
      <w:pPr>
        <w:spacing w:after="160"/>
      </w:pPr>
      <w:r>
        <w:t xml:space="preserve">Bloco 9: A análise considerou os dados coletados entre janeiro e setembro, comparando o desempenho das equipes regionais com as metas definidas no planejamento estratégico.</w:t>
      </w:r>
    </w:p>
    <w:p>
      <w:pPr>
        <w:spacing w:after="160"/>
      </w:pPr>
      <w:r>
        <w:t xml:space="preserve">Bloco 10: Os resultados indicam crescimento consistente nas regiões Sul e Sudeste, enquanto o Nordeste apresentou estabilidade, com pequenas variações sazonais ao longo do período.</w:t>
      </w:r>
    </w:p>
    <w:p>
      <w:pPr>
        <w:spacing w:after="160"/>
      </w:pPr>
      <w:r>
        <w:t xml:space="preserve">Bloco 11: Recomenda-se ampliar o acompanhamento mensal dos indicadores e revisar os processos de atendimento, priorizando os canais digitais que concentram a maior parte das solicitações.</w:t>
      </w:r>
    </w:p>
    <w:p>
      <w:pPr>
        <w:spacing w:after="160"/>
      </w:pPr>
      <w:r>
        <w:t xml:space="preserve">Bloco 12: Por fim, a equipe técnica sugere a criação de um painel integrado, reunindo informações financeiras e operacionais, para apoiar decisões rápidas e bem fundamentadas.</w:t>
      </w:r>
    </w:p>
    <w:sectPr>
      <w:headerReference w:type="default" r:id="rId8"/>
      <w:footerReference w:type="default" r:id="rId9"/>
      <w:type w:val="continuous"/>
      <w:pgSz w:w="11906" w:h="16838" w:orient="portrait"/>
      <w:pgMar w:top="1440" w:right="1440" w:bottom="1440" w:left="1440" w:header="708" w:footer="708" w:gutter="0"/>
      <w:pgNumType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Empresa Exemplo Ltda — Documento interno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Empresa Exemplo Ltda —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ans" w:cs="Liberation Sans" w:eastAsia="Liberation Sans" w:hAnsi="Liberation San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druk-gwhgymyoft32k37r" Type="http://schemas.openxmlformats.org/officeDocument/2006/relationships/hyperlink" Target="https://exemplo.gov.br/relatorio" TargetMode="External"/><Relationship Id="rId12" Type="http://schemas.openxmlformats.org/officeDocument/2006/relationships/image" Target="media/df432612e8e1d3e8163a4f53ebbe27373793ed6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2026-10-16T18:51:40.503Z</dcterms:created>
  <dcterms:modified xsi:type="dcterms:W3CDTF">2026-10-16T18:51:40.504Z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