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E3BBC" w14:textId="745119EF" w:rsidR="00111319" w:rsidRDefault="00000000" w:rsidP="009719C1">
      <w:pPr>
        <w:spacing w:line="480" w:lineRule="auto"/>
        <w:jc w:val="center"/>
      </w:pPr>
      <w:r>
        <w:t xml:space="preserve">Concept Map </w:t>
      </w:r>
      <w:r w:rsidR="00F4722C">
        <w:t>Template</w:t>
      </w:r>
    </w:p>
    <w:p w14:paraId="34A21321" w14:textId="77777777" w:rsidR="00111319" w:rsidRDefault="00111319" w:rsidP="009719C1">
      <w:pPr>
        <w:spacing w:line="480" w:lineRule="auto"/>
      </w:pPr>
    </w:p>
    <w:p w14:paraId="4A491BB5" w14:textId="2DF627C6" w:rsidR="00636197" w:rsidRPr="00087EC5" w:rsidRDefault="00000000" w:rsidP="009719C1">
      <w:pPr>
        <w:spacing w:line="480" w:lineRule="auto"/>
      </w:pPr>
      <w:r>
        <w:t xml:space="preserve">Primary Diagnosis: </w:t>
      </w:r>
      <w:r w:rsidR="00087EC5">
        <w:t xml:space="preserve"> </w:t>
      </w:r>
      <w:r>
        <w:t xml:space="preserve"> </w:t>
      </w:r>
      <w:r w:rsidR="00087EC5" w:rsidRPr="00087EC5">
        <w:rPr>
          <w:u w:val="single"/>
        </w:rPr>
        <w:t>Spinal Cord Injury</w:t>
      </w:r>
      <w:r w:rsidR="00087EC5">
        <w:rPr>
          <w:u w:val="single"/>
        </w:rPr>
        <w:t xml:space="preserve"> (SCI)</w:t>
      </w:r>
    </w:p>
    <w:p w14:paraId="71B8C704" w14:textId="77777777" w:rsidR="009F0B62" w:rsidRPr="00087EC5" w:rsidRDefault="009F0B62" w:rsidP="009719C1">
      <w:pPr>
        <w:spacing w:line="480" w:lineRule="auto"/>
      </w:pPr>
    </w:p>
    <w:p w14:paraId="58B7E39B" w14:textId="77777777" w:rsidR="009F0B62" w:rsidRDefault="00000000" w:rsidP="009719C1">
      <w:pPr>
        <w:spacing w:line="480" w:lineRule="auto"/>
      </w:pPr>
      <w:r>
        <w:t xml:space="preserve">1.   Describe the pathophysiology of the primary diagnosis in your own words. What are the </w:t>
      </w:r>
      <w:r w:rsidR="00D21AB3">
        <w:t>patient’s risk factors for this diagnosis?</w:t>
      </w:r>
    </w:p>
    <w:tbl>
      <w:tblPr>
        <w:tblStyle w:val="TableGrid"/>
        <w:tblW w:w="0" w:type="auto"/>
        <w:tblLook w:val="04A0" w:firstRow="1" w:lastRow="0" w:firstColumn="1" w:lastColumn="0" w:noHBand="0" w:noVBand="1"/>
      </w:tblPr>
      <w:tblGrid>
        <w:gridCol w:w="4675"/>
        <w:gridCol w:w="4675"/>
      </w:tblGrid>
      <w:tr w:rsidR="00EC51F1" w14:paraId="52F9F9EF" w14:textId="77777777" w:rsidTr="003D2915">
        <w:tc>
          <w:tcPr>
            <w:tcW w:w="9350" w:type="dxa"/>
            <w:gridSpan w:val="2"/>
          </w:tcPr>
          <w:p w14:paraId="1B88322F" w14:textId="4E6ECF78" w:rsidR="00111319" w:rsidRDefault="00000000" w:rsidP="009719C1">
            <w:pPr>
              <w:spacing w:line="480" w:lineRule="auto"/>
            </w:pPr>
            <w:r>
              <w:t>Pathophysiology of Primary Diagnosis</w:t>
            </w:r>
          </w:p>
        </w:tc>
      </w:tr>
      <w:tr w:rsidR="00EC51F1" w14:paraId="781C9D65" w14:textId="77777777" w:rsidTr="00016155">
        <w:trPr>
          <w:trHeight w:val="1358"/>
        </w:trPr>
        <w:tc>
          <w:tcPr>
            <w:tcW w:w="9350" w:type="dxa"/>
            <w:gridSpan w:val="2"/>
          </w:tcPr>
          <w:p w14:paraId="524CC242" w14:textId="614A831F" w:rsidR="009C7AEA" w:rsidRDefault="009C7AEA" w:rsidP="009C7AEA">
            <w:pPr>
              <w:spacing w:after="0" w:line="480" w:lineRule="auto"/>
            </w:pPr>
            <w:r>
              <w:t>Spinal cord injuries (SCIs) disrupt the vital communication pathway between the brain and the rest of the body. According to Dumont et al. (2001), this disruption arises from damage to the spinal cord itself, a bundle of nerves encased within the spine. The initial injury can be caused by a traumatic impact, such as a car accident or fall, or by compressive forces from a herniated disc or tumor. This damage affects the spinal cord at the cellular level, leading to direct injury to nerve cells and supportive tissues</w:t>
            </w:r>
            <w:r w:rsidR="00B11F98">
              <w:t xml:space="preserve">, as explained by </w:t>
            </w:r>
            <w:r w:rsidR="00B11F98" w:rsidRPr="00B11F98">
              <w:t>O'Shea et al. (2017)</w:t>
            </w:r>
            <w:r>
              <w:t>. Additionally, blood flow disruptions can starve cells of oxygen and nutrients, further compromising their function. The body's natural inflammatory response, while intended for healing, can also contribute to secondary cell damage through the release of harmful substances.</w:t>
            </w:r>
          </w:p>
          <w:p w14:paraId="65C54D51" w14:textId="77777777" w:rsidR="009C7AEA" w:rsidRDefault="009C7AEA" w:rsidP="009C7AEA">
            <w:pPr>
              <w:spacing w:after="0" w:line="480" w:lineRule="auto"/>
            </w:pPr>
          </w:p>
          <w:p w14:paraId="5D34197B" w14:textId="475ED5AF" w:rsidR="009C7AEA" w:rsidRDefault="009C7AEA" w:rsidP="009C7AEA">
            <w:pPr>
              <w:spacing w:after="0" w:line="480" w:lineRule="auto"/>
            </w:pPr>
            <w:r>
              <w:t>This cellular injury sets off a cascade of events that worsen the initial damage. Fluid buildup (edema) within the spinal cord puts pressure on healthy tissue, further restricting blood flow</w:t>
            </w:r>
            <w:r w:rsidR="00B11F98">
              <w:t xml:space="preserve"> </w:t>
            </w:r>
            <w:r w:rsidR="00904F64">
              <w:t>(</w:t>
            </w:r>
            <w:r w:rsidR="00B11F98" w:rsidRPr="00B11F98">
              <w:t>Leonard et al.</w:t>
            </w:r>
            <w:r w:rsidR="00904F64">
              <w:t>,</w:t>
            </w:r>
            <w:r w:rsidR="00B11F98" w:rsidRPr="00B11F98">
              <w:t xml:space="preserve"> 2015)</w:t>
            </w:r>
            <w:r>
              <w:t xml:space="preserve">. The delicate balance of electrolytes within and around cells can become disrupted, further impairing their function. Finally, the body attempts to repair the damage </w:t>
            </w:r>
            <w:r>
              <w:lastRenderedPageBreak/>
              <w:t>with scar tissue. While scar tissue formation is a natural healing process, it can impede the ability of nerve fibers to regenerate and ultimately hinder functional recovery.</w:t>
            </w:r>
          </w:p>
          <w:p w14:paraId="32C26398" w14:textId="77777777" w:rsidR="009C7AEA" w:rsidRDefault="009C7AEA" w:rsidP="009C7AEA">
            <w:pPr>
              <w:spacing w:after="0" w:line="480" w:lineRule="auto"/>
            </w:pPr>
          </w:p>
          <w:p w14:paraId="667384E0" w14:textId="26EBD564" w:rsidR="009C7AEA" w:rsidRDefault="009C7AEA" w:rsidP="009C7AEA">
            <w:pPr>
              <w:spacing w:after="0" w:line="480" w:lineRule="auto"/>
            </w:pPr>
            <w:r>
              <w:t>There are two main types of SCI based on the location of damage. Gray matter injuries primarily affect the central core of the spinal cord, where nerve cell bodies and communication centers reside</w:t>
            </w:r>
            <w:r w:rsidR="00904F64">
              <w:t xml:space="preserve"> (</w:t>
            </w:r>
            <w:r w:rsidR="00456C27" w:rsidRPr="00456C27">
              <w:t>Nahin et al.</w:t>
            </w:r>
            <w:r w:rsidR="00904F64">
              <w:t xml:space="preserve">, </w:t>
            </w:r>
            <w:r w:rsidR="00456C27" w:rsidRPr="00456C27">
              <w:t>1983)</w:t>
            </w:r>
            <w:r>
              <w:t xml:space="preserve">. This can lead to significant loss of motor and sensory function below the injury site. White matter injuries, on the other hand, primarily affect the outer white matter, where nerve fibers are bundled and </w:t>
            </w:r>
            <w:r w:rsidR="00456C27">
              <w:t xml:space="preserve">insulated </w:t>
            </w:r>
            <w:r w:rsidR="00904F64">
              <w:t>(</w:t>
            </w:r>
            <w:r w:rsidR="00456C27">
              <w:t>Velumian</w:t>
            </w:r>
            <w:r w:rsidR="00456C27" w:rsidRPr="00456C27">
              <w:t xml:space="preserve"> and Samoilova</w:t>
            </w:r>
            <w:r w:rsidR="00904F64">
              <w:t xml:space="preserve">., </w:t>
            </w:r>
            <w:r w:rsidR="00456C27" w:rsidRPr="00456C27">
              <w:t>2013)</w:t>
            </w:r>
            <w:r>
              <w:t>. Damage to these pathways disrupts communication between the brain and other body parts, causing varying degrees of paralysis, weakness, and sensory issues.</w:t>
            </w:r>
          </w:p>
          <w:p w14:paraId="78BD6A3A" w14:textId="77777777" w:rsidR="009C7AEA" w:rsidRDefault="009C7AEA" w:rsidP="009C7AEA">
            <w:pPr>
              <w:spacing w:after="0" w:line="480" w:lineRule="auto"/>
            </w:pPr>
          </w:p>
          <w:p w14:paraId="2EBF3337" w14:textId="1F82CEA5" w:rsidR="00111319" w:rsidRDefault="009C7AEA" w:rsidP="009C7AEA">
            <w:pPr>
              <w:spacing w:line="480" w:lineRule="auto"/>
            </w:pPr>
            <w:r>
              <w:t>The severity of an SCI depends on the extent and location of the injury. A complete SCI severs all nerve pathways below the injury, resulting in complete paralysis and loss of sensation. An incomplete SCI leaves some nerve pathways intact, allowing for varying degrees of residual function. Understanding the complex pathophysiology of SCI helps us appreciate the challenges faced by individuals with this condition and paves the way for the development of improved treatment strategies</w:t>
            </w:r>
            <w:r w:rsidR="00331EA0">
              <w:t xml:space="preserve"> </w:t>
            </w:r>
            <w:r w:rsidR="00904F64">
              <w:t>(</w:t>
            </w:r>
            <w:r w:rsidR="00331EA0" w:rsidRPr="00331EA0">
              <w:t xml:space="preserve">McDonald </w:t>
            </w:r>
            <w:r w:rsidR="00904F64">
              <w:t>et al.,</w:t>
            </w:r>
            <w:r w:rsidR="00331EA0" w:rsidRPr="00331EA0">
              <w:t xml:space="preserve"> 2002)</w:t>
            </w:r>
            <w:r>
              <w:t>.</w:t>
            </w:r>
          </w:p>
        </w:tc>
      </w:tr>
      <w:tr w:rsidR="00EC51F1" w14:paraId="08320FFE" w14:textId="77777777" w:rsidTr="00111319">
        <w:trPr>
          <w:trHeight w:val="251"/>
        </w:trPr>
        <w:tc>
          <w:tcPr>
            <w:tcW w:w="4675" w:type="dxa"/>
          </w:tcPr>
          <w:p w14:paraId="732EEB7B" w14:textId="5817D42F" w:rsidR="00111319" w:rsidRDefault="00000000" w:rsidP="009719C1">
            <w:pPr>
              <w:spacing w:line="480" w:lineRule="auto"/>
            </w:pPr>
            <w:r>
              <w:lastRenderedPageBreak/>
              <w:t xml:space="preserve">Causes </w:t>
            </w:r>
          </w:p>
        </w:tc>
        <w:tc>
          <w:tcPr>
            <w:tcW w:w="4675" w:type="dxa"/>
          </w:tcPr>
          <w:p w14:paraId="6A0CCD6F" w14:textId="2DA1356A" w:rsidR="00111319" w:rsidRDefault="00000000" w:rsidP="009719C1">
            <w:pPr>
              <w:spacing w:line="480" w:lineRule="auto"/>
            </w:pPr>
            <w:r>
              <w:t>Risk Factors (genetic/ethnic/physical)</w:t>
            </w:r>
          </w:p>
        </w:tc>
      </w:tr>
      <w:tr w:rsidR="00EC51F1" w14:paraId="2F345565" w14:textId="77777777" w:rsidTr="009F0B62">
        <w:trPr>
          <w:trHeight w:val="1358"/>
        </w:trPr>
        <w:tc>
          <w:tcPr>
            <w:tcW w:w="4675" w:type="dxa"/>
          </w:tcPr>
          <w:p w14:paraId="64610858" w14:textId="207ADF5E" w:rsidR="00111319" w:rsidRDefault="00111319" w:rsidP="00BC6FBE">
            <w:pPr>
              <w:spacing w:line="480" w:lineRule="auto"/>
            </w:pPr>
          </w:p>
          <w:p w14:paraId="1AFC83A2" w14:textId="33A6F1FA" w:rsidR="00BC6FBE" w:rsidRDefault="00BC6FBE" w:rsidP="00BC6FBE">
            <w:pPr>
              <w:spacing w:after="0" w:line="480" w:lineRule="auto"/>
              <w:ind w:left="360"/>
            </w:pPr>
            <w:r>
              <w:t>Spinal cord injuries can arise from traumatic or non-traumatic events</w:t>
            </w:r>
            <w:r>
              <w:t xml:space="preserve"> </w:t>
            </w:r>
            <w:r w:rsidR="00904F64">
              <w:t>(</w:t>
            </w:r>
            <w:r w:rsidRPr="00BC6FBE">
              <w:t>Ge et al.</w:t>
            </w:r>
            <w:r w:rsidR="00904F64">
              <w:t>,</w:t>
            </w:r>
            <w:r w:rsidRPr="00BC6FBE">
              <w:t xml:space="preserve"> 2018)</w:t>
            </w:r>
            <w:r>
              <w:t xml:space="preserve">. Traumatic causes are the most common, with motor vehicle accidents </w:t>
            </w:r>
            <w:r>
              <w:lastRenderedPageBreak/>
              <w:t>being a leading culprit, especially for young adults</w:t>
            </w:r>
            <w:r w:rsidR="009807EC">
              <w:t xml:space="preserve"> </w:t>
            </w:r>
            <w:r w:rsidR="00904F64">
              <w:t>(</w:t>
            </w:r>
            <w:r w:rsidR="009807EC" w:rsidRPr="009807EC">
              <w:t>Umerani et al.</w:t>
            </w:r>
            <w:r w:rsidR="00904F64">
              <w:t>,</w:t>
            </w:r>
            <w:r w:rsidR="009807EC" w:rsidRPr="009807EC">
              <w:t xml:space="preserve"> 2014)</w:t>
            </w:r>
            <w:r>
              <w:t>. Falls from heights are another significant contributor, particularly among older adults whose bones and balance may be compromised</w:t>
            </w:r>
            <w:r w:rsidR="0029239F">
              <w:t xml:space="preserve"> </w:t>
            </w:r>
            <w:r w:rsidR="00904F64">
              <w:t>(</w:t>
            </w:r>
            <w:r w:rsidR="0029239F" w:rsidRPr="0029239F">
              <w:t>Sattin</w:t>
            </w:r>
            <w:r w:rsidR="00904F64">
              <w:t>.,</w:t>
            </w:r>
            <w:r w:rsidR="0029239F" w:rsidRPr="0029239F">
              <w:t xml:space="preserve"> 1992)</w:t>
            </w:r>
            <w:r>
              <w:t>. High-impact sports and acts of violence can also cause SCIs through forceful collisions or injuries</w:t>
            </w:r>
            <w:r w:rsidR="00391002">
              <w:t xml:space="preserve">, </w:t>
            </w:r>
            <w:r w:rsidR="00904F64">
              <w:t>(</w:t>
            </w:r>
            <w:r w:rsidR="00391002" w:rsidRPr="00391002">
              <w:t>Badenhorst</w:t>
            </w:r>
            <w:r w:rsidR="00904F64">
              <w:t xml:space="preserve">., </w:t>
            </w:r>
            <w:r w:rsidR="00391002" w:rsidRPr="00391002">
              <w:t>2019)</w:t>
            </w:r>
            <w:r>
              <w:t>.</w:t>
            </w:r>
          </w:p>
          <w:p w14:paraId="645298AB" w14:textId="77777777" w:rsidR="00BC6FBE" w:rsidRDefault="00BC6FBE" w:rsidP="00BC6FBE">
            <w:pPr>
              <w:spacing w:after="0" w:line="480" w:lineRule="auto"/>
              <w:ind w:left="360"/>
            </w:pPr>
          </w:p>
          <w:p w14:paraId="2D05FE03" w14:textId="2A732C4B" w:rsidR="00BC6FBE" w:rsidRDefault="00B23ECB" w:rsidP="00BC6FBE">
            <w:pPr>
              <w:spacing w:line="480" w:lineRule="auto"/>
              <w:ind w:left="360"/>
            </w:pPr>
            <w:r w:rsidRPr="00B23ECB">
              <w:t>Less common, but still important to consider, are non-traumatic causes of SCIs (Alito et al., 2021)</w:t>
            </w:r>
            <w:r w:rsidR="00BC6FBE">
              <w:t>. Infections, tumors, and certain autoimmune diseases can damage the spinal cord. Herniated discs, where a disc bulges and compresses the spinal cord, can also lead to neurological deficits. In rare cases, congenital conditions present at birth, such as spinal abnormalities, can increase a person's susceptibility to SCI later in life.</w:t>
            </w:r>
          </w:p>
        </w:tc>
        <w:tc>
          <w:tcPr>
            <w:tcW w:w="4675" w:type="dxa"/>
          </w:tcPr>
          <w:p w14:paraId="0E1AB383" w14:textId="77777777" w:rsidR="0029239F" w:rsidRDefault="0029239F" w:rsidP="0029239F">
            <w:pPr>
              <w:spacing w:line="480" w:lineRule="auto"/>
            </w:pPr>
          </w:p>
          <w:p w14:paraId="579AD5CC" w14:textId="2677AF99" w:rsidR="0029239F" w:rsidRDefault="0029239F" w:rsidP="0029239F">
            <w:pPr>
              <w:spacing w:after="0" w:line="480" w:lineRule="auto"/>
            </w:pPr>
            <w:r>
              <w:t>Several factors can increase an individual's risk for developing an SCI.</w:t>
            </w:r>
            <w:r w:rsidR="001D181A">
              <w:t xml:space="preserve">A study by </w:t>
            </w:r>
            <w:r w:rsidR="001D181A" w:rsidRPr="0029239F">
              <w:t>Sattin (1992)</w:t>
            </w:r>
            <w:r w:rsidR="001D181A">
              <w:t xml:space="preserve"> shows that,</w:t>
            </w:r>
            <w:r>
              <w:t xml:space="preserve"> </w:t>
            </w:r>
            <w:r w:rsidR="001D181A">
              <w:t>a</w:t>
            </w:r>
            <w:r>
              <w:t xml:space="preserve">ge is a significant consideration, as people over 65 are more </w:t>
            </w:r>
            <w:r>
              <w:lastRenderedPageBreak/>
              <w:t>susceptible due to weaker bones that are more prone to fractures during falls, and potentially decreased balance that could lead to falls in the first place. Occupations with a high risk of falls or accidents, such as construction or roofing, carry a higher risk for SCI</w:t>
            </w:r>
            <w:r w:rsidR="00904F64">
              <w:t xml:space="preserve"> (</w:t>
            </w:r>
            <w:r w:rsidR="00904F64" w:rsidRPr="00904F64">
              <w:t>Chau et al.</w:t>
            </w:r>
            <w:r w:rsidR="00904F64">
              <w:t>,</w:t>
            </w:r>
            <w:r w:rsidR="00904F64" w:rsidRPr="00904F64">
              <w:t>2004)</w:t>
            </w:r>
            <w:r>
              <w:t>. Similarly, individuals who participate in high-impact sports or recreational activities like football, rugby, or diving are more at risk due to the potential for forceful collisions or landings.</w:t>
            </w:r>
          </w:p>
          <w:p w14:paraId="6A08E67F" w14:textId="77777777" w:rsidR="0029239F" w:rsidRDefault="0029239F" w:rsidP="0029239F">
            <w:pPr>
              <w:spacing w:after="0" w:line="480" w:lineRule="auto"/>
            </w:pPr>
          </w:p>
          <w:p w14:paraId="59EE8A16" w14:textId="727F8BD9" w:rsidR="0029239F" w:rsidRDefault="0029239F" w:rsidP="0029239F">
            <w:pPr>
              <w:spacing w:line="480" w:lineRule="auto"/>
            </w:pPr>
            <w:r>
              <w:t xml:space="preserve">Other risk factors include osteoporosis, a condition that weakens bones and increases fracture risk, and previous spinal injuries. Having a prior SCI can make someone more vulnerable to future injuries because of spinal instability. Additionally, certain congenital conditions, such as spinal stenosis (narrowing of the spinal canal), can predispose individuals to SCI later in life. While not major risk factors, genetic predisposition and ethnicity might play a minor role. </w:t>
            </w:r>
            <w:r>
              <w:lastRenderedPageBreak/>
              <w:t>Socioeconomic factors that can differ across ethnicities could indirectly influence risk as well. Understanding these causes and risk factors can help individuals and healthcare professionals identify those most vulnerable and implement preventive strategies.</w:t>
            </w:r>
          </w:p>
        </w:tc>
      </w:tr>
    </w:tbl>
    <w:p w14:paraId="7CCF126A" w14:textId="77777777" w:rsidR="009F0B62" w:rsidRDefault="009F0B62" w:rsidP="009719C1">
      <w:pPr>
        <w:spacing w:line="480" w:lineRule="auto"/>
      </w:pPr>
    </w:p>
    <w:p w14:paraId="2F026DE9" w14:textId="77777777" w:rsidR="009F0B62" w:rsidRDefault="00000000" w:rsidP="009719C1">
      <w:pPr>
        <w:spacing w:line="480" w:lineRule="auto"/>
      </w:pPr>
      <w:r>
        <w:t xml:space="preserve">2. What are the patient's </w:t>
      </w:r>
      <w:r w:rsidR="00D21AB3">
        <w:t>signs and symptoms</w:t>
      </w:r>
      <w:r>
        <w:t xml:space="preserve"> for this diagnosis?</w:t>
      </w:r>
      <w:r w:rsidR="00D21AB3">
        <w:t xml:space="preserve"> How does the diag</w:t>
      </w:r>
      <w:r w:rsidR="00580C07">
        <w:t>nosis impact other body systems, and what are the possible complications?</w:t>
      </w:r>
    </w:p>
    <w:tbl>
      <w:tblPr>
        <w:tblStyle w:val="TableGrid"/>
        <w:tblW w:w="0" w:type="auto"/>
        <w:tblLook w:val="04A0" w:firstRow="1" w:lastRow="0" w:firstColumn="1" w:lastColumn="0" w:noHBand="0" w:noVBand="1"/>
      </w:tblPr>
      <w:tblGrid>
        <w:gridCol w:w="4675"/>
        <w:gridCol w:w="4675"/>
      </w:tblGrid>
      <w:tr w:rsidR="00EC51F1" w14:paraId="6B34F84A" w14:textId="77777777" w:rsidTr="009F0B62">
        <w:tc>
          <w:tcPr>
            <w:tcW w:w="4675" w:type="dxa"/>
          </w:tcPr>
          <w:p w14:paraId="0B3F51CC" w14:textId="79419AC6" w:rsidR="009F0B62" w:rsidRDefault="00000000" w:rsidP="009719C1">
            <w:pPr>
              <w:spacing w:line="480" w:lineRule="auto"/>
            </w:pPr>
            <w:r>
              <w:t>Signs and Symptoms</w:t>
            </w:r>
            <w:r w:rsidR="00111319">
              <w:t xml:space="preserve"> – Common presentation</w:t>
            </w:r>
          </w:p>
        </w:tc>
        <w:tc>
          <w:tcPr>
            <w:tcW w:w="4675" w:type="dxa"/>
          </w:tcPr>
          <w:p w14:paraId="1731C3E5" w14:textId="77777777" w:rsidR="009F0B62" w:rsidRDefault="00000000" w:rsidP="009719C1">
            <w:pPr>
              <w:spacing w:line="480" w:lineRule="auto"/>
            </w:pPr>
            <w:r>
              <w:t>How does the diagnosis impact each body system?</w:t>
            </w:r>
            <w:r w:rsidR="00D21AB3">
              <w:t xml:space="preserve"> Complications?</w:t>
            </w:r>
          </w:p>
        </w:tc>
      </w:tr>
      <w:tr w:rsidR="00EC51F1" w14:paraId="37A3CB66" w14:textId="77777777" w:rsidTr="009F0B62">
        <w:trPr>
          <w:trHeight w:val="1205"/>
        </w:trPr>
        <w:tc>
          <w:tcPr>
            <w:tcW w:w="4675" w:type="dxa"/>
          </w:tcPr>
          <w:p w14:paraId="79D1F350" w14:textId="77777777" w:rsidR="006976D9" w:rsidRDefault="006976D9" w:rsidP="006976D9">
            <w:pPr>
              <w:spacing w:line="480" w:lineRule="auto"/>
              <w:ind w:left="360"/>
            </w:pPr>
          </w:p>
          <w:p w14:paraId="4CB9580C" w14:textId="0F779669" w:rsidR="006976D9" w:rsidRDefault="006976D9" w:rsidP="006976D9">
            <w:pPr>
              <w:spacing w:after="0" w:line="480" w:lineRule="auto"/>
              <w:ind w:left="360"/>
            </w:pPr>
            <w:r>
              <w:t>Spinal cord injuries (SCIs) disrupt the vital communication pathway between the brain and body, leading to a diverse range of symptoms. The severity and location of the injury significantly influence the specific signs a person experiences. Some common consequences of SCIs include:</w:t>
            </w:r>
          </w:p>
          <w:p w14:paraId="7D739607" w14:textId="77777777" w:rsidR="006976D9" w:rsidRDefault="006976D9" w:rsidP="006976D9">
            <w:pPr>
              <w:spacing w:after="0" w:line="480" w:lineRule="auto"/>
              <w:ind w:left="360"/>
            </w:pPr>
            <w:r w:rsidRPr="006976D9">
              <w:rPr>
                <w:b/>
                <w:bCs w:val="0"/>
              </w:rPr>
              <w:t>Loss of movement (paralysis):</w:t>
            </w:r>
            <w:r>
              <w:t xml:space="preserve"> Depending on the level of injury, individuals may experience complete or </w:t>
            </w:r>
            <w:r>
              <w:lastRenderedPageBreak/>
              <w:t>partial paralysis in their limbs, or even in their entire body.</w:t>
            </w:r>
          </w:p>
          <w:p w14:paraId="564F8A4B" w14:textId="77777777" w:rsidR="006976D9" w:rsidRDefault="006976D9" w:rsidP="006976D9">
            <w:pPr>
              <w:spacing w:after="0" w:line="480" w:lineRule="auto"/>
              <w:ind w:left="360"/>
            </w:pPr>
            <w:r w:rsidRPr="006976D9">
              <w:rPr>
                <w:b/>
                <w:bCs w:val="0"/>
              </w:rPr>
              <w:t>Loss of sensation (numbness, tingling):</w:t>
            </w:r>
            <w:r>
              <w:t xml:space="preserve"> Areas below the injury site may lose feeling, resulting in numbness or tingling sensations.</w:t>
            </w:r>
          </w:p>
          <w:p w14:paraId="447953E9" w14:textId="77777777" w:rsidR="006976D9" w:rsidRDefault="006976D9" w:rsidP="006976D9">
            <w:pPr>
              <w:spacing w:after="0" w:line="480" w:lineRule="auto"/>
              <w:ind w:left="360"/>
            </w:pPr>
            <w:r w:rsidRPr="006976D9">
              <w:rPr>
                <w:b/>
                <w:bCs w:val="0"/>
              </w:rPr>
              <w:t>Loss of bowel and bladder control:</w:t>
            </w:r>
            <w:r>
              <w:t xml:space="preserve"> Disruption of nerve signals due to the injury can lead to difficulty controlling urination and bowel movements.</w:t>
            </w:r>
          </w:p>
          <w:p w14:paraId="7D94E45D" w14:textId="77777777" w:rsidR="006976D9" w:rsidRDefault="006976D9" w:rsidP="006976D9">
            <w:pPr>
              <w:spacing w:after="0" w:line="480" w:lineRule="auto"/>
              <w:ind w:left="360"/>
            </w:pPr>
            <w:r w:rsidRPr="006976D9">
              <w:rPr>
                <w:b/>
                <w:bCs w:val="0"/>
              </w:rPr>
              <w:t>Muscle spasms and pain:</w:t>
            </w:r>
            <w:r>
              <w:t xml:space="preserve"> Spasms and uncontrollable muscle contractions are common, especially in the early stages of SCI. Pain can arise from the injury itself, nerve damage, or muscle spasms.</w:t>
            </w:r>
          </w:p>
          <w:p w14:paraId="5409B201" w14:textId="77777777" w:rsidR="006976D9" w:rsidRDefault="006976D9" w:rsidP="006976D9">
            <w:pPr>
              <w:spacing w:after="0" w:line="480" w:lineRule="auto"/>
              <w:ind w:left="360"/>
            </w:pPr>
            <w:r w:rsidRPr="006976D9">
              <w:rPr>
                <w:b/>
                <w:bCs w:val="0"/>
              </w:rPr>
              <w:t>Difficulty breathing (especially with high cervical injuries):</w:t>
            </w:r>
            <w:r>
              <w:t xml:space="preserve"> Severe injuries to the upper cervical spine can affect the muscles responsible for breathing, potentially leading to breathing difficulties.</w:t>
            </w:r>
          </w:p>
          <w:p w14:paraId="6A260F63" w14:textId="4739CDF3" w:rsidR="009F0B62" w:rsidRDefault="009F0B62" w:rsidP="006976D9">
            <w:pPr>
              <w:pStyle w:val="ListParagraph"/>
              <w:spacing w:line="480" w:lineRule="auto"/>
            </w:pPr>
          </w:p>
        </w:tc>
        <w:tc>
          <w:tcPr>
            <w:tcW w:w="4675" w:type="dxa"/>
          </w:tcPr>
          <w:p w14:paraId="1B6D3292" w14:textId="77777777" w:rsidR="006976D9" w:rsidRDefault="006976D9" w:rsidP="006976D9">
            <w:pPr>
              <w:spacing w:line="480" w:lineRule="auto"/>
              <w:ind w:left="360"/>
              <w:rPr>
                <w:b/>
                <w:bCs w:val="0"/>
              </w:rPr>
            </w:pPr>
          </w:p>
          <w:p w14:paraId="408AA94F" w14:textId="73B90121" w:rsidR="006976D9" w:rsidRDefault="006976D9" w:rsidP="006976D9">
            <w:pPr>
              <w:spacing w:after="0" w:line="480" w:lineRule="auto"/>
              <w:ind w:left="360"/>
            </w:pPr>
            <w:r>
              <w:t xml:space="preserve">SCIs have a significant impact on various body systems beyond the initial loss of movement or sensation. Paralysis and weakness can lead to muscle contractures (shortening) and osteoporosis (bone loss) in the musculoskeletal system. Decreased mobility and sensation increase the risk of pressure sores developing on the skin. Loss of bladder control can lead to urinary tract infections (UTIs), while bowel </w:t>
            </w:r>
            <w:r>
              <w:lastRenderedPageBreak/>
              <w:t>control challenges can result in constipation or incontinence.</w:t>
            </w:r>
          </w:p>
          <w:p w14:paraId="228E2101" w14:textId="77777777" w:rsidR="006976D9" w:rsidRDefault="006976D9" w:rsidP="006976D9">
            <w:pPr>
              <w:spacing w:after="0" w:line="480" w:lineRule="auto"/>
              <w:ind w:left="360"/>
            </w:pPr>
          </w:p>
          <w:p w14:paraId="5129475E" w14:textId="4194ED05" w:rsidR="009F0B62" w:rsidRDefault="006976D9" w:rsidP="006976D9">
            <w:pPr>
              <w:spacing w:line="480" w:lineRule="auto"/>
              <w:ind w:left="360"/>
            </w:pPr>
            <w:r>
              <w:t>Severe injuries affecting the breathing muscles can lead to reduced lung function, potentially requiring respiratory support. Sexual function can also be affected in some cases of SCI. Understanding these potential complications is crucial for developing a comprehensive treatment and rehabilitation plan to minimize them and improve overall well-being for individuals with SCIs.</w:t>
            </w:r>
          </w:p>
        </w:tc>
      </w:tr>
    </w:tbl>
    <w:p w14:paraId="21BED143" w14:textId="77777777" w:rsidR="009F0B62" w:rsidRDefault="009F0B62" w:rsidP="009719C1">
      <w:pPr>
        <w:spacing w:line="480" w:lineRule="auto"/>
      </w:pPr>
    </w:p>
    <w:p w14:paraId="306EBC93" w14:textId="3101C197" w:rsidR="009F0B62" w:rsidRDefault="00000000" w:rsidP="009719C1">
      <w:pPr>
        <w:spacing w:line="480" w:lineRule="auto"/>
      </w:pPr>
      <w:r>
        <w:lastRenderedPageBreak/>
        <w:t xml:space="preserve">3. </w:t>
      </w:r>
      <w:r w:rsidR="00D21AB3">
        <w:t xml:space="preserve">What are </w:t>
      </w:r>
      <w:r w:rsidR="00111319">
        <w:t>other potential diagnosis that present in a similar way to this diagnosis (differentials)</w:t>
      </w:r>
      <w:r w:rsidR="00D21AB3">
        <w:t>?</w:t>
      </w:r>
    </w:p>
    <w:tbl>
      <w:tblPr>
        <w:tblStyle w:val="TableGrid"/>
        <w:tblW w:w="0" w:type="auto"/>
        <w:tblLook w:val="04A0" w:firstRow="1" w:lastRow="0" w:firstColumn="1" w:lastColumn="0" w:noHBand="0" w:noVBand="1"/>
      </w:tblPr>
      <w:tblGrid>
        <w:gridCol w:w="9350"/>
      </w:tblGrid>
      <w:tr w:rsidR="00EC51F1" w14:paraId="2EF4000F" w14:textId="77777777" w:rsidTr="00580C07">
        <w:trPr>
          <w:trHeight w:val="836"/>
        </w:trPr>
        <w:tc>
          <w:tcPr>
            <w:tcW w:w="9350" w:type="dxa"/>
          </w:tcPr>
          <w:p w14:paraId="53AAA284" w14:textId="77777777" w:rsidR="00087EC5" w:rsidRDefault="00000000" w:rsidP="009719C1">
            <w:pPr>
              <w:pStyle w:val="ListParagraph"/>
              <w:numPr>
                <w:ilvl w:val="0"/>
                <w:numId w:val="4"/>
              </w:numPr>
              <w:spacing w:line="480" w:lineRule="auto"/>
            </w:pPr>
            <w:r w:rsidRPr="00087EC5">
              <w:rPr>
                <w:b/>
                <w:bCs w:val="0"/>
              </w:rPr>
              <w:t>Guillain-Barre Syndrome (GBS):</w:t>
            </w:r>
            <w:r>
              <w:t xml:space="preserve"> An autoimmune disease that attacks the peripheral nerves, causing weakness and numbness.</w:t>
            </w:r>
          </w:p>
          <w:p w14:paraId="542989A7" w14:textId="77777777" w:rsidR="00087EC5" w:rsidRDefault="00000000" w:rsidP="009719C1">
            <w:pPr>
              <w:pStyle w:val="ListParagraph"/>
              <w:numPr>
                <w:ilvl w:val="0"/>
                <w:numId w:val="4"/>
              </w:numPr>
              <w:spacing w:line="480" w:lineRule="auto"/>
            </w:pPr>
            <w:r w:rsidRPr="00087EC5">
              <w:rPr>
                <w:b/>
                <w:bCs w:val="0"/>
              </w:rPr>
              <w:t>Transverse Myelitis</w:t>
            </w:r>
            <w:r>
              <w:t xml:space="preserve"> is an inflammation of the spinal cord that can cause symptoms similar to SCI but may improve over time.</w:t>
            </w:r>
          </w:p>
          <w:p w14:paraId="5892B47E" w14:textId="77777777" w:rsidR="00087EC5" w:rsidRDefault="00000000" w:rsidP="009719C1">
            <w:pPr>
              <w:pStyle w:val="ListParagraph"/>
              <w:numPr>
                <w:ilvl w:val="0"/>
                <w:numId w:val="4"/>
              </w:numPr>
              <w:spacing w:line="480" w:lineRule="auto"/>
            </w:pPr>
            <w:r w:rsidRPr="00087EC5">
              <w:rPr>
                <w:b/>
                <w:bCs w:val="0"/>
              </w:rPr>
              <w:t>Multiple Sclerosis (MS):</w:t>
            </w:r>
            <w:r>
              <w:t xml:space="preserve"> A neurological disease that can cause various symptoms, including muscle weakness and numbness, but typically follows a relapsing-remitting course.</w:t>
            </w:r>
          </w:p>
          <w:p w14:paraId="0F232409" w14:textId="77777777" w:rsidR="00087EC5" w:rsidRDefault="00000000" w:rsidP="009719C1">
            <w:pPr>
              <w:pStyle w:val="ListParagraph"/>
              <w:numPr>
                <w:ilvl w:val="0"/>
                <w:numId w:val="4"/>
              </w:numPr>
              <w:spacing w:line="480" w:lineRule="auto"/>
            </w:pPr>
            <w:r w:rsidRPr="00087EC5">
              <w:rPr>
                <w:b/>
                <w:bCs w:val="0"/>
              </w:rPr>
              <w:t>Disc Herniation:</w:t>
            </w:r>
            <w:r>
              <w:t xml:space="preserve"> A herniated disc in the spine can compress nerves and cause pain, weakness, and numbness.</w:t>
            </w:r>
          </w:p>
          <w:p w14:paraId="234526F3" w14:textId="522A3413" w:rsidR="00580C07" w:rsidRDefault="00000000" w:rsidP="009719C1">
            <w:pPr>
              <w:pStyle w:val="ListParagraph"/>
              <w:numPr>
                <w:ilvl w:val="0"/>
                <w:numId w:val="4"/>
              </w:numPr>
              <w:spacing w:line="480" w:lineRule="auto"/>
            </w:pPr>
            <w:r w:rsidRPr="00087EC5">
              <w:rPr>
                <w:b/>
                <w:bCs w:val="0"/>
              </w:rPr>
              <w:t>Stroke:</w:t>
            </w:r>
            <w:r>
              <w:t xml:space="preserve"> A stroke in some brain regions can mimic SCI symptoms by affecting motor function and sensation.</w:t>
            </w:r>
          </w:p>
        </w:tc>
      </w:tr>
    </w:tbl>
    <w:p w14:paraId="61B319BC" w14:textId="77777777" w:rsidR="00580C07" w:rsidRDefault="00580C07" w:rsidP="009719C1">
      <w:pPr>
        <w:spacing w:line="480" w:lineRule="auto"/>
      </w:pPr>
    </w:p>
    <w:p w14:paraId="2EEF3CC8" w14:textId="394BACD9" w:rsidR="00D21AB3" w:rsidRDefault="00000000" w:rsidP="009719C1">
      <w:pPr>
        <w:spacing w:line="480" w:lineRule="auto"/>
      </w:pPr>
      <w:r>
        <w:t>4. What diagnostic tests</w:t>
      </w:r>
      <w:r w:rsidR="00111319">
        <w:t xml:space="preserve"> or labs</w:t>
      </w:r>
      <w:r>
        <w:t xml:space="preserve"> would you order to rule out the differentials for this patient or confirm the primary diagnosis?</w:t>
      </w:r>
    </w:p>
    <w:tbl>
      <w:tblPr>
        <w:tblStyle w:val="TableGrid"/>
        <w:tblW w:w="0" w:type="auto"/>
        <w:tblLook w:val="04A0" w:firstRow="1" w:lastRow="0" w:firstColumn="1" w:lastColumn="0" w:noHBand="0" w:noVBand="1"/>
      </w:tblPr>
      <w:tblGrid>
        <w:gridCol w:w="9350"/>
      </w:tblGrid>
      <w:tr w:rsidR="00EC51F1" w14:paraId="0E366B44" w14:textId="77777777" w:rsidTr="008D4086">
        <w:trPr>
          <w:trHeight w:val="836"/>
        </w:trPr>
        <w:tc>
          <w:tcPr>
            <w:tcW w:w="9350" w:type="dxa"/>
          </w:tcPr>
          <w:p w14:paraId="38819EA8" w14:textId="4575262E" w:rsidR="006976D9" w:rsidRPr="006976D9" w:rsidRDefault="006976D9" w:rsidP="006976D9">
            <w:pPr>
              <w:spacing w:after="0" w:line="480" w:lineRule="auto"/>
              <w:ind w:left="360"/>
            </w:pPr>
            <w:r w:rsidRPr="006976D9">
              <w:t>Diagnosing a spinal cord injury (SCI) requires a multi-pronged approach utilizing both imaging and electrophysiological studies.  X-rays and CT scans come into play first, providing detailed views of the bones in the spine.  While these scans can't directly visualize the spinal cord itself, they are crucial for identifying any fractures, dislocations, or misalignments of the vertebrae that might be compressing the spinal cord</w:t>
            </w:r>
            <w:r w:rsidR="00436A42">
              <w:t xml:space="preserve"> (</w:t>
            </w:r>
            <w:r w:rsidR="00436A42" w:rsidRPr="00436A42">
              <w:t>Löffler et al.</w:t>
            </w:r>
            <w:r w:rsidR="00436A42">
              <w:t>,</w:t>
            </w:r>
            <w:r w:rsidR="00436A42" w:rsidRPr="00436A42">
              <w:t xml:space="preserve"> 2020)</w:t>
            </w:r>
            <w:r w:rsidRPr="006976D9">
              <w:t>.</w:t>
            </w:r>
          </w:p>
          <w:p w14:paraId="5FB06BD2" w14:textId="77777777" w:rsidR="006976D9" w:rsidRPr="006976D9" w:rsidRDefault="006976D9" w:rsidP="006976D9">
            <w:pPr>
              <w:spacing w:after="0" w:line="480" w:lineRule="auto"/>
              <w:ind w:left="360"/>
            </w:pPr>
          </w:p>
          <w:p w14:paraId="0E253A7F" w14:textId="5B0E7729" w:rsidR="006976D9" w:rsidRPr="006976D9" w:rsidRDefault="006976D9" w:rsidP="006976D9">
            <w:pPr>
              <w:spacing w:after="0" w:line="480" w:lineRule="auto"/>
              <w:ind w:left="360"/>
            </w:pPr>
            <w:r w:rsidRPr="006976D9">
              <w:t>Following this initial assessment, Magnetic Resonance Imaging (MRI) becomes the gold standard for diagnosing SCIs.  MRI creates incredibly detailed cross-sectional images of the spinal cord, allowing doctors to visualize any damage, swelling, or bleeding</w:t>
            </w:r>
            <w:r w:rsidR="00436A42">
              <w:t xml:space="preserve"> (</w:t>
            </w:r>
            <w:r w:rsidR="00436A42" w:rsidRPr="00436A42">
              <w:t>Dalkilic et al.</w:t>
            </w:r>
            <w:r w:rsidR="00436A42">
              <w:t>,</w:t>
            </w:r>
            <w:r w:rsidR="00436A42" w:rsidRPr="00436A42">
              <w:t xml:space="preserve"> 2018)</w:t>
            </w:r>
            <w:r w:rsidRPr="006976D9">
              <w:t>.  This detailed view is vital for pinpointing the exact location and severity of the injury.</w:t>
            </w:r>
          </w:p>
          <w:p w14:paraId="4541E07F" w14:textId="77777777" w:rsidR="006976D9" w:rsidRPr="006976D9" w:rsidRDefault="006976D9" w:rsidP="006976D9">
            <w:pPr>
              <w:spacing w:after="0" w:line="480" w:lineRule="auto"/>
              <w:ind w:left="360"/>
            </w:pPr>
          </w:p>
          <w:p w14:paraId="2AFB8552" w14:textId="148CF92E" w:rsidR="00580C07" w:rsidRDefault="006976D9" w:rsidP="006976D9">
            <w:pPr>
              <w:spacing w:line="480" w:lineRule="auto"/>
              <w:ind w:left="360"/>
            </w:pPr>
            <w:r w:rsidRPr="006976D9">
              <w:t>Beyond imaging, electrophysiological studies like Somatosensory Evoked Potentials (SSEPs) and Electromyography (EMG) provide additional information about nerve function</w:t>
            </w:r>
            <w:r w:rsidR="00436A42">
              <w:t xml:space="preserve"> (</w:t>
            </w:r>
            <w:r w:rsidR="00436A42" w:rsidRPr="00436A42">
              <w:t>Hubli et al.</w:t>
            </w:r>
            <w:r w:rsidR="00436A42">
              <w:t>,</w:t>
            </w:r>
            <w:r w:rsidR="00436A42" w:rsidRPr="00436A42">
              <w:t xml:space="preserve"> 2019)</w:t>
            </w:r>
            <w:r w:rsidRPr="006976D9">
              <w:t>.  SSEPs measure the electrical activity generated in the brain in response to stimulating sensory nerves in the arms or legs.  Abnormal results in SSEP can indicate damage to the sensory pathways within the spinal cord.  EMG, on the other hand, assesses the health and function of muscles and the nerves that control them.  By measuring electrical activity in muscles, EMG can help identify nerve damage or disruption of nerve signals due to an SCI.</w:t>
            </w:r>
          </w:p>
        </w:tc>
      </w:tr>
    </w:tbl>
    <w:p w14:paraId="58BDC653" w14:textId="77777777" w:rsidR="00580C07" w:rsidRDefault="00580C07" w:rsidP="009719C1">
      <w:pPr>
        <w:spacing w:line="480" w:lineRule="auto"/>
      </w:pPr>
    </w:p>
    <w:p w14:paraId="036E47F5" w14:textId="53BD2830" w:rsidR="00D21AB3" w:rsidRDefault="00000000" w:rsidP="009719C1">
      <w:pPr>
        <w:spacing w:line="480" w:lineRule="auto"/>
      </w:pPr>
      <w:r>
        <w:t>5. What treatment options would you consider?</w:t>
      </w:r>
      <w:r w:rsidR="00580C07">
        <w:t xml:space="preserve"> Include possible referrals</w:t>
      </w:r>
      <w:r w:rsidR="00111319">
        <w:t xml:space="preserve"> and medications</w:t>
      </w:r>
      <w:r w:rsidR="00580C07">
        <w:t>.</w:t>
      </w:r>
    </w:p>
    <w:tbl>
      <w:tblPr>
        <w:tblStyle w:val="TableGrid"/>
        <w:tblW w:w="0" w:type="auto"/>
        <w:tblLook w:val="04A0" w:firstRow="1" w:lastRow="0" w:firstColumn="1" w:lastColumn="0" w:noHBand="0" w:noVBand="1"/>
      </w:tblPr>
      <w:tblGrid>
        <w:gridCol w:w="9350"/>
      </w:tblGrid>
      <w:tr w:rsidR="00EC51F1" w14:paraId="63CD2403" w14:textId="77777777" w:rsidTr="008D4086">
        <w:trPr>
          <w:trHeight w:val="836"/>
        </w:trPr>
        <w:tc>
          <w:tcPr>
            <w:tcW w:w="9350" w:type="dxa"/>
          </w:tcPr>
          <w:p w14:paraId="5D7EAEED" w14:textId="77777777" w:rsidR="00EB2E42" w:rsidRDefault="00EB2E42" w:rsidP="00EB2E42">
            <w:pPr>
              <w:spacing w:line="480" w:lineRule="auto"/>
            </w:pPr>
          </w:p>
          <w:p w14:paraId="6DED3355" w14:textId="4CFF4480" w:rsidR="00EB2E42" w:rsidRDefault="00EB2E42" w:rsidP="00EB2E42">
            <w:pPr>
              <w:spacing w:after="0" w:line="480" w:lineRule="auto"/>
            </w:pPr>
            <w:r w:rsidRPr="00EB2E42">
              <w:rPr>
                <w:b/>
                <w:bCs w:val="0"/>
              </w:rPr>
              <w:t>Emergency Care:</w:t>
            </w:r>
          </w:p>
          <w:p w14:paraId="3FD728BC" w14:textId="0E73FCBD" w:rsidR="00EB2E42" w:rsidRDefault="00EB2E42" w:rsidP="00EB2E42">
            <w:pPr>
              <w:spacing w:after="0" w:line="480" w:lineRule="auto"/>
            </w:pPr>
            <w:r>
              <w:t>Spinal stabilization: The top priority is to stabilize the spine using a cervical collar or other devices to prevent further damage to the spinal cord</w:t>
            </w:r>
            <w:r>
              <w:t xml:space="preserve"> (</w:t>
            </w:r>
            <w:r w:rsidRPr="00EB2E42">
              <w:t>Shrier et al.</w:t>
            </w:r>
            <w:r>
              <w:t>,</w:t>
            </w:r>
            <w:r w:rsidRPr="00EB2E42">
              <w:t xml:space="preserve"> 2015)</w:t>
            </w:r>
            <w:r>
              <w:t>.</w:t>
            </w:r>
          </w:p>
          <w:p w14:paraId="3C427AA8" w14:textId="77777777" w:rsidR="00EB2E42" w:rsidRDefault="00EB2E42" w:rsidP="00EB2E42">
            <w:pPr>
              <w:spacing w:after="0" w:line="480" w:lineRule="auto"/>
            </w:pPr>
            <w:r>
              <w:lastRenderedPageBreak/>
              <w:t>Medication: Medications may be administered to reduce swelling around the injury site (corticosteroids) and manage pain (analgesics).</w:t>
            </w:r>
          </w:p>
          <w:p w14:paraId="5E16F58F" w14:textId="77777777" w:rsidR="00EB2E42" w:rsidRDefault="00EB2E42" w:rsidP="00EB2E42">
            <w:pPr>
              <w:spacing w:line="480" w:lineRule="auto"/>
              <w:rPr>
                <w:b/>
                <w:bCs w:val="0"/>
              </w:rPr>
            </w:pPr>
          </w:p>
          <w:p w14:paraId="049F71C9" w14:textId="31D75348" w:rsidR="00EB2E42" w:rsidRDefault="00EB2E42" w:rsidP="00EB2E42">
            <w:pPr>
              <w:spacing w:after="0" w:line="480" w:lineRule="auto"/>
            </w:pPr>
            <w:r w:rsidRPr="00EB2E42">
              <w:rPr>
                <w:b/>
                <w:bCs w:val="0"/>
              </w:rPr>
              <w:t>Surgery:</w:t>
            </w:r>
          </w:p>
          <w:p w14:paraId="73DCE590" w14:textId="77777777" w:rsidR="00EB2E42" w:rsidRDefault="00EB2E42" w:rsidP="00EB2E42">
            <w:pPr>
              <w:spacing w:after="0" w:line="480" w:lineRule="auto"/>
            </w:pPr>
            <w:r>
              <w:t>Spinal realignment: In some cases, surgery may be necessary to realign the vertebrae and relieve pressure on the spinal cord.</w:t>
            </w:r>
          </w:p>
          <w:p w14:paraId="7C5FB254" w14:textId="77777777" w:rsidR="00EB2E42" w:rsidRDefault="00EB2E42" w:rsidP="00EB2E42">
            <w:pPr>
              <w:spacing w:after="0" w:line="480" w:lineRule="auto"/>
            </w:pPr>
            <w:r>
              <w:t>Decompression: Surgeons might remove fragments of bone, disc material, or blood clots compressing the spinal cord.</w:t>
            </w:r>
          </w:p>
          <w:p w14:paraId="7E494BCE" w14:textId="77777777" w:rsidR="00EB2E42" w:rsidRDefault="00EB2E42" w:rsidP="00EB2E42">
            <w:pPr>
              <w:spacing w:after="0" w:line="480" w:lineRule="auto"/>
            </w:pPr>
            <w:r>
              <w:t>Fracture stabilization: Surgery can also be used to stabilize fractures in the spine.</w:t>
            </w:r>
          </w:p>
          <w:p w14:paraId="34204D1B" w14:textId="2CA2ACF3" w:rsidR="00EB2E42" w:rsidRDefault="00EB2E42" w:rsidP="00EB2E42">
            <w:pPr>
              <w:spacing w:after="0" w:line="480" w:lineRule="auto"/>
            </w:pPr>
            <w:r w:rsidRPr="00EB2E42">
              <w:rPr>
                <w:b/>
                <w:bCs w:val="0"/>
              </w:rPr>
              <w:t>Rehabilitation:</w:t>
            </w:r>
          </w:p>
          <w:p w14:paraId="563AE6F7" w14:textId="77777777" w:rsidR="00EB2E42" w:rsidRDefault="00EB2E42" w:rsidP="00EB2E42">
            <w:pPr>
              <w:spacing w:after="0" w:line="480" w:lineRule="auto"/>
            </w:pPr>
            <w:r>
              <w:t>Physical therapy: This is a critical aspect of treatment, focusing on improving muscle strength, coordination, and mobility. Therapists will help individuals regain function and learn new ways to perform daily activities.</w:t>
            </w:r>
          </w:p>
          <w:p w14:paraId="2CBB699F" w14:textId="77777777" w:rsidR="00EB2E42" w:rsidRDefault="00EB2E42" w:rsidP="00EB2E42">
            <w:pPr>
              <w:spacing w:after="0" w:line="480" w:lineRule="auto"/>
            </w:pPr>
            <w:r>
              <w:t>Occupational therapy: Occupational therapists help individuals adapt to their new limitations and learn techniques for independent living, such as dressing, bathing, and cooking.</w:t>
            </w:r>
          </w:p>
          <w:p w14:paraId="2CCFD513" w14:textId="60EBB2FD" w:rsidR="00EB2E42" w:rsidRDefault="00EB2E42" w:rsidP="00EB2E42">
            <w:pPr>
              <w:spacing w:after="0" w:line="480" w:lineRule="auto"/>
            </w:pPr>
            <w:r>
              <w:t>Speech therapy: Speech therapy may be needed if the injury affects swallowing or speech production</w:t>
            </w:r>
            <w:r w:rsidRPr="00EB2E42">
              <w:t xml:space="preserve"> </w:t>
            </w:r>
            <w:r>
              <w:t>(</w:t>
            </w:r>
            <w:r w:rsidRPr="00EB2E42">
              <w:t>Führmann et al.</w:t>
            </w:r>
            <w:r>
              <w:t>,</w:t>
            </w:r>
            <w:r w:rsidRPr="00EB2E42">
              <w:t xml:space="preserve"> 2017)</w:t>
            </w:r>
            <w:r>
              <w:t>.</w:t>
            </w:r>
          </w:p>
          <w:p w14:paraId="4D76402E" w14:textId="77D1BE2A" w:rsidR="00EB2E42" w:rsidRDefault="00EB2E42" w:rsidP="00EB2E42">
            <w:pPr>
              <w:spacing w:after="0" w:line="480" w:lineRule="auto"/>
            </w:pPr>
            <w:r w:rsidRPr="00EB2E42">
              <w:rPr>
                <w:b/>
                <w:bCs w:val="0"/>
              </w:rPr>
              <w:t>Medication:</w:t>
            </w:r>
          </w:p>
          <w:p w14:paraId="4C88FF4C" w14:textId="6D38EF2A" w:rsidR="00EB2E42" w:rsidRDefault="00EB2E42" w:rsidP="00EB2E42">
            <w:pPr>
              <w:spacing w:after="0" w:line="480" w:lineRule="auto"/>
            </w:pPr>
            <w:r>
              <w:t>Pain management: Medications can be used to manage pain, including over-the-counter pain relievers, prescription opioids (used cautiously due to addiction risk), and nerve pain medications</w:t>
            </w:r>
            <w:r>
              <w:t xml:space="preserve"> (</w:t>
            </w:r>
            <w:r w:rsidRPr="00EB2E42">
              <w:t>Anjum et al.</w:t>
            </w:r>
            <w:r>
              <w:t>,</w:t>
            </w:r>
            <w:r w:rsidRPr="00EB2E42">
              <w:t xml:space="preserve"> (2020)</w:t>
            </w:r>
            <w:r>
              <w:t>.</w:t>
            </w:r>
          </w:p>
          <w:p w14:paraId="3EB6F79A" w14:textId="77777777" w:rsidR="00EB2E42" w:rsidRDefault="00EB2E42" w:rsidP="00EB2E42">
            <w:pPr>
              <w:spacing w:after="0" w:line="480" w:lineRule="auto"/>
            </w:pPr>
            <w:r>
              <w:t>Spasticity management: Muscle relaxants can help control muscle spasms and spasticity.</w:t>
            </w:r>
          </w:p>
          <w:p w14:paraId="0C45A57E" w14:textId="77777777" w:rsidR="00EB2E42" w:rsidRDefault="00EB2E42" w:rsidP="00EB2E42">
            <w:pPr>
              <w:spacing w:after="0" w:line="480" w:lineRule="auto"/>
            </w:pPr>
            <w:r>
              <w:lastRenderedPageBreak/>
              <w:t>Mental health support: Antidepressants may be prescribed to address depression or anxiety that can occur after an SCI.</w:t>
            </w:r>
          </w:p>
          <w:p w14:paraId="0B1AC49C" w14:textId="66EA7E61" w:rsidR="00EB2E42" w:rsidRDefault="00EB2E42" w:rsidP="00EB2E42">
            <w:pPr>
              <w:spacing w:line="480" w:lineRule="auto"/>
            </w:pPr>
            <w:r>
              <w:t>Bowel and bladder management: Medications can help manage incontinence or constipation.</w:t>
            </w:r>
          </w:p>
          <w:p w14:paraId="38CB2166" w14:textId="2DEA0900" w:rsidR="00055341" w:rsidRDefault="00055341" w:rsidP="00EB2E42">
            <w:pPr>
              <w:pStyle w:val="Heading3"/>
              <w:shd w:val="clear" w:color="auto" w:fill="FFFFFF"/>
              <w:spacing w:before="0" w:beforeAutospacing="0" w:after="30" w:afterAutospacing="0" w:line="285" w:lineRule="atLeast"/>
              <w:ind w:right="1500"/>
            </w:pPr>
          </w:p>
        </w:tc>
      </w:tr>
    </w:tbl>
    <w:p w14:paraId="4FEB7EC0" w14:textId="0D3A78CA" w:rsidR="00436A42" w:rsidRDefault="00436A42" w:rsidP="009719C1">
      <w:pPr>
        <w:spacing w:line="480" w:lineRule="auto"/>
      </w:pPr>
    </w:p>
    <w:p w14:paraId="17388B04" w14:textId="77777777" w:rsidR="00436A42" w:rsidRDefault="00436A42">
      <w:r>
        <w:br w:type="page"/>
      </w:r>
    </w:p>
    <w:p w14:paraId="12A6348B" w14:textId="77777777" w:rsidR="00580C07" w:rsidRDefault="00580C07" w:rsidP="009719C1">
      <w:pPr>
        <w:spacing w:line="480" w:lineRule="auto"/>
      </w:pPr>
    </w:p>
    <w:p w14:paraId="5FD33D4D" w14:textId="4E58FBAA" w:rsidR="00B5449C" w:rsidRPr="00B5449C" w:rsidRDefault="00B5449C" w:rsidP="00B5449C">
      <w:pPr>
        <w:spacing w:line="480" w:lineRule="auto"/>
        <w:jc w:val="center"/>
        <w:rPr>
          <w:b/>
          <w:bCs w:val="0"/>
        </w:rPr>
      </w:pPr>
      <w:r w:rsidRPr="00B5449C">
        <w:rPr>
          <w:b/>
          <w:bCs w:val="0"/>
        </w:rPr>
        <w:t>References</w:t>
      </w:r>
    </w:p>
    <w:p w14:paraId="4E576242" w14:textId="2B0E856F" w:rsidR="00E25787" w:rsidRDefault="00E25787" w:rsidP="00E25787">
      <w:pPr>
        <w:spacing w:line="480" w:lineRule="auto"/>
        <w:ind w:left="1077" w:hanging="720"/>
      </w:pPr>
      <w:r w:rsidRPr="00E25787">
        <w:t xml:space="preserve">Alito, A., Filardi, V., Fama, F., Bruschetta, D., Ruggeri, C., Basile, G., ... &amp; Tisano, A. (2021). Traumatic and non-traumatic spinal cord injury: Demographic characteristics, neurological and functional outcomes. A 7-year single centre experience. Journal of Orthopaedics, 28, 62-66. </w:t>
      </w:r>
      <w:hyperlink r:id="rId5" w:history="1">
        <w:r w:rsidRPr="005E74FC">
          <w:rPr>
            <w:rStyle w:val="Hyperlink"/>
          </w:rPr>
          <w:t>https://www.sciencedirect.com/science/article/abs/pii/S0972978X21002324</w:t>
        </w:r>
      </w:hyperlink>
    </w:p>
    <w:p w14:paraId="096165C2" w14:textId="668D3AB2" w:rsidR="00E25787" w:rsidRDefault="00E25787" w:rsidP="00E25787">
      <w:pPr>
        <w:spacing w:line="480" w:lineRule="auto"/>
        <w:ind w:left="1077" w:hanging="720"/>
      </w:pPr>
      <w:r w:rsidRPr="00E25787">
        <w:t xml:space="preserve">Anjum, A., Yazid, M. D. I., Fauzi Daud, M., Idris, J., Ng, A. M. H., Selvi Naicker, A., ... &amp; Lokanathan, Y. (2020). Spinal cord injury: pathophysiology, multimolecular interactions, and underlying recovery mechanisms. International journal of molecular sciences, 21(20), 7533. </w:t>
      </w:r>
      <w:hyperlink r:id="rId6" w:history="1">
        <w:r w:rsidRPr="005E74FC">
          <w:rPr>
            <w:rStyle w:val="Hyperlink"/>
          </w:rPr>
          <w:t>https://www.mdpi.com/1422-0067/21/20/7533</w:t>
        </w:r>
      </w:hyperlink>
    </w:p>
    <w:p w14:paraId="7889668A" w14:textId="3317C634" w:rsidR="00E25787" w:rsidRDefault="00E25787" w:rsidP="00E25787">
      <w:pPr>
        <w:spacing w:line="480" w:lineRule="auto"/>
        <w:ind w:left="360"/>
      </w:pPr>
      <w:r w:rsidRPr="00E25787">
        <w:t xml:space="preserve">Badenhorst, M. (2019). Life after the game: consequences of acute spinal cord injuries in South African rugby union players. </w:t>
      </w:r>
      <w:hyperlink r:id="rId7" w:history="1">
        <w:r w:rsidRPr="005E74FC">
          <w:rPr>
            <w:rStyle w:val="Hyperlink"/>
          </w:rPr>
          <w:t>https://research.vu.nl/files/88639395/complete%20dissertation.pdf</w:t>
        </w:r>
      </w:hyperlink>
    </w:p>
    <w:p w14:paraId="4A2FBCA2" w14:textId="1FA86A2E" w:rsidR="00E25787" w:rsidRDefault="00E25787" w:rsidP="00E25787">
      <w:pPr>
        <w:spacing w:line="480" w:lineRule="auto"/>
        <w:ind w:left="1077" w:hanging="720"/>
      </w:pPr>
      <w:r w:rsidRPr="00E25787">
        <w:t xml:space="preserve">Chau, N., Gauchard, G. C., Siegfried, C., Benamghar, L., Dangelzer, J. L., Français, M., ... &amp; Mur, J. M. (2004). Relationships of job, age, and life conditions with the causes and severity of occupational injuries in construction workers. International archives of occupational and environmental health, 77, 60-66. </w:t>
      </w:r>
      <w:hyperlink r:id="rId8" w:history="1">
        <w:r w:rsidRPr="005E74FC">
          <w:rPr>
            <w:rStyle w:val="Hyperlink"/>
          </w:rPr>
          <w:t>https://link.springer.com/article/10.1007/s00420-003-0460-7</w:t>
        </w:r>
      </w:hyperlink>
    </w:p>
    <w:p w14:paraId="24648079" w14:textId="3C101AB5" w:rsidR="00E25787" w:rsidRDefault="00E25787" w:rsidP="00E25787">
      <w:pPr>
        <w:spacing w:line="480" w:lineRule="auto"/>
        <w:ind w:left="1077" w:hanging="720"/>
      </w:pPr>
      <w:r w:rsidRPr="00E25787">
        <w:t xml:space="preserve">Dalkilic, T., Fallah, N., Noonan, V. K., Salimi Elizei, S., Dong, K., Belanger, L., ... &amp; Kwon, B. K. (2018). Predicting injury severity and neurological recovery after acute cervical spinal cord injury: a comparison of cerebrospinal fluid and magnetic resonance </w:t>
      </w:r>
      <w:r w:rsidRPr="00E25787">
        <w:lastRenderedPageBreak/>
        <w:t xml:space="preserve">imaging biomarkers. Journal of neurotrauma, 35(3), 435-445. </w:t>
      </w:r>
      <w:hyperlink r:id="rId9" w:history="1">
        <w:r w:rsidRPr="005E74FC">
          <w:rPr>
            <w:rStyle w:val="Hyperlink"/>
          </w:rPr>
          <w:t>https://www.liebertpub.com/doi/abs/10.1089/neu.2017.5357</w:t>
        </w:r>
      </w:hyperlink>
    </w:p>
    <w:p w14:paraId="3EA171D5" w14:textId="3854835E" w:rsidR="00E25787" w:rsidRDefault="00E25787" w:rsidP="00E25787">
      <w:pPr>
        <w:spacing w:line="480" w:lineRule="auto"/>
        <w:ind w:left="1077" w:hanging="720"/>
      </w:pPr>
      <w:r w:rsidRPr="00E25787">
        <w:t xml:space="preserve">Dumont, R. J., Okonkwo, D. O., Verma, S., Hurlbert, R. J., Boulos, P. T., Ellegala, D. B., &amp; Dumont, A. S. (2001). Acute spinal cord injury, part I: pathophysiologic mechanisms. Clinical neuropharmacology, 24(5), 254-264. </w:t>
      </w:r>
      <w:hyperlink r:id="rId10" w:history="1">
        <w:r w:rsidRPr="005E74FC">
          <w:rPr>
            <w:rStyle w:val="Hyperlink"/>
          </w:rPr>
          <w:t>https://journals.lww.com/clinicalneuropharm/abstract/2001/09000/acute_spinal_cord_injury,_part_i__pathophysiologic.2.aspx</w:t>
        </w:r>
      </w:hyperlink>
    </w:p>
    <w:p w14:paraId="5298C3FB" w14:textId="4B65DBC3" w:rsidR="00E25787" w:rsidRDefault="00E25787" w:rsidP="00E25787">
      <w:pPr>
        <w:spacing w:line="480" w:lineRule="auto"/>
        <w:ind w:left="1077" w:hanging="720"/>
      </w:pPr>
      <w:r w:rsidRPr="00E25787">
        <w:t xml:space="preserve">Führmann, T., Anandakumaran, P. N., &amp; Shoichet, M. S. (2017). Combinatorial therapies after spinal cord injury: how can biomaterials help?. Advanced healthcare materials, 6(10), 1601130. </w:t>
      </w:r>
      <w:hyperlink r:id="rId11" w:history="1">
        <w:r w:rsidRPr="005E74FC">
          <w:rPr>
            <w:rStyle w:val="Hyperlink"/>
          </w:rPr>
          <w:t>https://onlinelibrary.wiley.com/doi/abs/10.1002/adhm.201601130</w:t>
        </w:r>
      </w:hyperlink>
    </w:p>
    <w:p w14:paraId="49A35896" w14:textId="6708B76E" w:rsidR="00E25787" w:rsidRDefault="00E25787" w:rsidP="00E25787">
      <w:pPr>
        <w:spacing w:line="480" w:lineRule="auto"/>
        <w:ind w:left="1077" w:hanging="720"/>
      </w:pPr>
      <w:r w:rsidRPr="00E25787">
        <w:t xml:space="preserve">Ge, L., Arul, K., Ikpeze, T., Baldwin, A., Nickels, J. L., &amp; Mesfin, A. (2018). Traumatic and nontraumatic spinal cord injuries. World neurosurgery, 111, e142-e148. </w:t>
      </w:r>
      <w:hyperlink r:id="rId12" w:history="1">
        <w:r w:rsidRPr="005E74FC">
          <w:rPr>
            <w:rStyle w:val="Hyperlink"/>
          </w:rPr>
          <w:t>https://www.sciencedirect.com/science/article/abs/pii/S1878875017321241</w:t>
        </w:r>
      </w:hyperlink>
    </w:p>
    <w:p w14:paraId="1A8A5B9F" w14:textId="5C3BB1E4" w:rsidR="00E25787" w:rsidRDefault="00E25787" w:rsidP="00E25787">
      <w:pPr>
        <w:spacing w:line="480" w:lineRule="auto"/>
        <w:ind w:left="1077" w:hanging="720"/>
      </w:pPr>
      <w:r w:rsidRPr="00E25787">
        <w:t xml:space="preserve">Hubli, M., Kramer, J. L., Jutzeler, C. R., Rosner, J., Furlan, J. C., Tansey, K. E., &amp; Schubert, M. (2019). Application of electrophysiological measures in spinal cord injury clinical trials: a narrative review. Spinal Cord, 57(11), 909-923. </w:t>
      </w:r>
      <w:hyperlink r:id="rId13" w:history="1">
        <w:r w:rsidRPr="005E74FC">
          <w:rPr>
            <w:rStyle w:val="Hyperlink"/>
          </w:rPr>
          <w:t>https://www.nature.com/articles/s41393-019-0331-z</w:t>
        </w:r>
      </w:hyperlink>
    </w:p>
    <w:p w14:paraId="48E9902B" w14:textId="73530B9D" w:rsidR="00E25787" w:rsidRDefault="00E25787" w:rsidP="00E25787">
      <w:pPr>
        <w:spacing w:line="480" w:lineRule="auto"/>
        <w:ind w:left="1077" w:hanging="720"/>
      </w:pPr>
      <w:r w:rsidRPr="00E25787">
        <w:t xml:space="preserve">Leonard, A. V., Thornton, E., &amp; Vink, R. (2015). The relative contribution of edema and hemorrhage to raised intrathecal pressure after traumatic spinal cord injury. Journal of neurotrauma, 32(6), 397-402. </w:t>
      </w:r>
      <w:hyperlink r:id="rId14" w:history="1">
        <w:r w:rsidRPr="005E74FC">
          <w:rPr>
            <w:rStyle w:val="Hyperlink"/>
          </w:rPr>
          <w:t>https://www.liebertpub.com/doi/abs/10.1089/neu.2014.3543</w:t>
        </w:r>
      </w:hyperlink>
    </w:p>
    <w:p w14:paraId="36C7F24A" w14:textId="77777777" w:rsidR="00E25787" w:rsidRPr="00E25787" w:rsidRDefault="00E25787" w:rsidP="00E25787">
      <w:pPr>
        <w:spacing w:line="480" w:lineRule="auto"/>
        <w:ind w:left="1077" w:hanging="720"/>
      </w:pPr>
    </w:p>
    <w:p w14:paraId="434C9E4F" w14:textId="12FCD163" w:rsidR="00E25787" w:rsidRDefault="00E25787" w:rsidP="00E25787">
      <w:pPr>
        <w:spacing w:line="480" w:lineRule="auto"/>
        <w:ind w:left="1077" w:hanging="720"/>
      </w:pPr>
      <w:r w:rsidRPr="00E25787">
        <w:lastRenderedPageBreak/>
        <w:t xml:space="preserve">Löffler, M. T., Sollmann, N., Mei, K., Valentinitsch, A., Noël, P. B., Kirschke, J. S., &amp; Baum, T. (2020). X-ray-based quantitative osteoporosis imaging at the spine. Osteoporosis International, 31, 233-250. </w:t>
      </w:r>
      <w:hyperlink r:id="rId15" w:history="1">
        <w:r w:rsidRPr="005E74FC">
          <w:rPr>
            <w:rStyle w:val="Hyperlink"/>
          </w:rPr>
          <w:t>https://link.springer.com/article/10.1007/s00198-019-05212-2</w:t>
        </w:r>
      </w:hyperlink>
    </w:p>
    <w:p w14:paraId="6D620A9F" w14:textId="5723F2B9" w:rsidR="00E25787" w:rsidRDefault="00E25787" w:rsidP="00E25787">
      <w:pPr>
        <w:spacing w:line="480" w:lineRule="auto"/>
        <w:ind w:left="1077" w:hanging="720"/>
      </w:pPr>
      <w:r w:rsidRPr="00E25787">
        <w:t xml:space="preserve">McDonald, J. W., &amp; Sadowsky, C. (2002). Spinal-cord injury. The Lancet, 359(9304), 417-425. </w:t>
      </w:r>
      <w:hyperlink r:id="rId16" w:history="1">
        <w:r w:rsidRPr="005E74FC">
          <w:rPr>
            <w:rStyle w:val="Hyperlink"/>
          </w:rPr>
          <w:t>https://www.thelancet.com/journals/lancet/article/PIIS0140-6736(02)07603-1/abstract</w:t>
        </w:r>
      </w:hyperlink>
    </w:p>
    <w:p w14:paraId="653E725E" w14:textId="2B460344" w:rsidR="00E25787" w:rsidRDefault="00E25787" w:rsidP="00E25787">
      <w:pPr>
        <w:spacing w:line="480" w:lineRule="auto"/>
        <w:ind w:left="1077" w:hanging="720"/>
      </w:pPr>
      <w:r w:rsidRPr="00E25787">
        <w:t xml:space="preserve">Nahin, R. L., Madsen, A. M., &amp; Giesler Jr, G. J. (1983). Anatomical and physiological studies of the gray matter surrounding the spinal cord central canal. Journal of Comparative Neurology, 220(3), 321-335. </w:t>
      </w:r>
      <w:hyperlink r:id="rId17" w:history="1">
        <w:r w:rsidRPr="005E74FC">
          <w:rPr>
            <w:rStyle w:val="Hyperlink"/>
          </w:rPr>
          <w:t>https://onlinelibrary.wiley.com/doi/abs/10.1002/cne.902200306</w:t>
        </w:r>
      </w:hyperlink>
    </w:p>
    <w:p w14:paraId="27B65CB0" w14:textId="16258BBF" w:rsidR="00E25787" w:rsidRDefault="00E25787" w:rsidP="00E25787">
      <w:pPr>
        <w:spacing w:line="480" w:lineRule="auto"/>
        <w:ind w:left="1077" w:hanging="720"/>
      </w:pPr>
      <w:r w:rsidRPr="00E25787">
        <w:t xml:space="preserve">O’Shea, T. M., Burda, J. E., &amp; Sofroniew, M. V. (2017). Cell biology of spinal cord injury and repair. The Journal of clinical investigation, 127(9), 3259-3270. </w:t>
      </w:r>
      <w:hyperlink r:id="rId18" w:history="1">
        <w:r w:rsidRPr="005E74FC">
          <w:rPr>
            <w:rStyle w:val="Hyperlink"/>
          </w:rPr>
          <w:t>https://www.jci.org/articles/view/90608</w:t>
        </w:r>
      </w:hyperlink>
    </w:p>
    <w:p w14:paraId="1A0E8BEE" w14:textId="166B5EF6" w:rsidR="00E25787" w:rsidRDefault="00E25787" w:rsidP="00E25787">
      <w:pPr>
        <w:spacing w:line="480" w:lineRule="auto"/>
        <w:ind w:left="1077" w:hanging="720"/>
      </w:pPr>
      <w:r w:rsidRPr="00E25787">
        <w:t xml:space="preserve">Sattin, R. W. (1992). Falls among older persons: a public health perspective. Annual review of public health, 13(1), 489-508. </w:t>
      </w:r>
      <w:hyperlink r:id="rId19" w:history="1">
        <w:r w:rsidRPr="005E74FC">
          <w:rPr>
            <w:rStyle w:val="Hyperlink"/>
          </w:rPr>
          <w:t>https://www.annualreviews.org/doi/pdf/10.1146/annurev.pu.13.050192.002421</w:t>
        </w:r>
      </w:hyperlink>
    </w:p>
    <w:p w14:paraId="3B1AE195" w14:textId="2DE8B1B9" w:rsidR="00E25787" w:rsidRDefault="00E25787" w:rsidP="00E25787">
      <w:pPr>
        <w:spacing w:line="480" w:lineRule="auto"/>
        <w:ind w:left="1077" w:hanging="720"/>
      </w:pPr>
      <w:r w:rsidRPr="00E25787">
        <w:t xml:space="preserve">Shrier, I., Boissy, P., Lebel, K., Boulay, J., Segal, E., Delaney, J. S., ... &amp; Steele, R. J. (2015). Cervical spine motion during transfer and stabilization techniques. Prehospital Emergency Care, 19(1), 116-125. </w:t>
      </w:r>
      <w:hyperlink r:id="rId20" w:history="1">
        <w:r w:rsidRPr="005E74FC">
          <w:rPr>
            <w:rStyle w:val="Hyperlink"/>
          </w:rPr>
          <w:t>https://www.tandfonline.com/doi/abs/10.3109/10903127.2014.936634</w:t>
        </w:r>
      </w:hyperlink>
    </w:p>
    <w:p w14:paraId="47B3C2CA" w14:textId="77777777" w:rsidR="00E25787" w:rsidRPr="00E25787" w:rsidRDefault="00E25787" w:rsidP="00E25787">
      <w:pPr>
        <w:spacing w:line="480" w:lineRule="auto"/>
        <w:ind w:left="1077" w:hanging="720"/>
      </w:pPr>
    </w:p>
    <w:p w14:paraId="114CECD8" w14:textId="1B27630D" w:rsidR="00E25787" w:rsidRDefault="00E25787" w:rsidP="00E25787">
      <w:pPr>
        <w:spacing w:line="480" w:lineRule="auto"/>
        <w:ind w:left="1077" w:hanging="720"/>
      </w:pPr>
      <w:r w:rsidRPr="00E25787">
        <w:lastRenderedPageBreak/>
        <w:t xml:space="preserve">Velumian, A., &amp; Samoilova, M. (2013). White Matter: Basic Principles of Axonal Organization and Function. In White Matter Injury in Stroke and CNS Disease (pp. 3-38). New York, NY: Springer New York. </w:t>
      </w:r>
      <w:hyperlink r:id="rId21" w:history="1">
        <w:r w:rsidRPr="005E74FC">
          <w:rPr>
            <w:rStyle w:val="Hyperlink"/>
          </w:rPr>
          <w:t>https://link.springer.com/chapter/10.1007/978-1-4614-9123-1_1</w:t>
        </w:r>
      </w:hyperlink>
    </w:p>
    <w:p w14:paraId="7D87FC74" w14:textId="77777777" w:rsidR="00E25787" w:rsidRPr="00E25787" w:rsidRDefault="00E25787" w:rsidP="00E25787">
      <w:pPr>
        <w:spacing w:line="480" w:lineRule="auto"/>
        <w:ind w:left="360"/>
      </w:pPr>
    </w:p>
    <w:p w14:paraId="678ACC70" w14:textId="79C05814" w:rsidR="00B5449C" w:rsidRDefault="00B5449C" w:rsidP="00B5449C">
      <w:pPr>
        <w:spacing w:line="480" w:lineRule="auto"/>
        <w:ind w:left="720" w:hanging="720"/>
      </w:pPr>
    </w:p>
    <w:sectPr w:rsidR="00B5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91E5C"/>
    <w:multiLevelType w:val="multilevel"/>
    <w:tmpl w:val="E670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B4F06"/>
    <w:multiLevelType w:val="hybridMultilevel"/>
    <w:tmpl w:val="A35CA710"/>
    <w:lvl w:ilvl="0" w:tplc="096CF80A">
      <w:numFmt w:val="bullet"/>
      <w:lvlText w:val="-"/>
      <w:lvlJc w:val="left"/>
      <w:pPr>
        <w:ind w:left="720" w:hanging="360"/>
      </w:pPr>
      <w:rPr>
        <w:rFonts w:ascii="Times New Roman" w:eastAsiaTheme="minorHAnsi" w:hAnsi="Times New Roman" w:cs="Times New Roman" w:hint="default"/>
      </w:rPr>
    </w:lvl>
    <w:lvl w:ilvl="1" w:tplc="4D087EC2" w:tentative="1">
      <w:start w:val="1"/>
      <w:numFmt w:val="bullet"/>
      <w:lvlText w:val="o"/>
      <w:lvlJc w:val="left"/>
      <w:pPr>
        <w:ind w:left="1440" w:hanging="360"/>
      </w:pPr>
      <w:rPr>
        <w:rFonts w:ascii="Courier New" w:hAnsi="Courier New" w:cs="Courier New" w:hint="default"/>
      </w:rPr>
    </w:lvl>
    <w:lvl w:ilvl="2" w:tplc="62DC18E4" w:tentative="1">
      <w:start w:val="1"/>
      <w:numFmt w:val="bullet"/>
      <w:lvlText w:val=""/>
      <w:lvlJc w:val="left"/>
      <w:pPr>
        <w:ind w:left="2160" w:hanging="360"/>
      </w:pPr>
      <w:rPr>
        <w:rFonts w:ascii="Wingdings" w:hAnsi="Wingdings" w:hint="default"/>
      </w:rPr>
    </w:lvl>
    <w:lvl w:ilvl="3" w:tplc="362CB33C" w:tentative="1">
      <w:start w:val="1"/>
      <w:numFmt w:val="bullet"/>
      <w:lvlText w:val=""/>
      <w:lvlJc w:val="left"/>
      <w:pPr>
        <w:ind w:left="2880" w:hanging="360"/>
      </w:pPr>
      <w:rPr>
        <w:rFonts w:ascii="Symbol" w:hAnsi="Symbol" w:hint="default"/>
      </w:rPr>
    </w:lvl>
    <w:lvl w:ilvl="4" w:tplc="869A3328" w:tentative="1">
      <w:start w:val="1"/>
      <w:numFmt w:val="bullet"/>
      <w:lvlText w:val="o"/>
      <w:lvlJc w:val="left"/>
      <w:pPr>
        <w:ind w:left="3600" w:hanging="360"/>
      </w:pPr>
      <w:rPr>
        <w:rFonts w:ascii="Courier New" w:hAnsi="Courier New" w:cs="Courier New" w:hint="default"/>
      </w:rPr>
    </w:lvl>
    <w:lvl w:ilvl="5" w:tplc="E306E75E" w:tentative="1">
      <w:start w:val="1"/>
      <w:numFmt w:val="bullet"/>
      <w:lvlText w:val=""/>
      <w:lvlJc w:val="left"/>
      <w:pPr>
        <w:ind w:left="4320" w:hanging="360"/>
      </w:pPr>
      <w:rPr>
        <w:rFonts w:ascii="Wingdings" w:hAnsi="Wingdings" w:hint="default"/>
      </w:rPr>
    </w:lvl>
    <w:lvl w:ilvl="6" w:tplc="8DC656CE" w:tentative="1">
      <w:start w:val="1"/>
      <w:numFmt w:val="bullet"/>
      <w:lvlText w:val=""/>
      <w:lvlJc w:val="left"/>
      <w:pPr>
        <w:ind w:left="5040" w:hanging="360"/>
      </w:pPr>
      <w:rPr>
        <w:rFonts w:ascii="Symbol" w:hAnsi="Symbol" w:hint="default"/>
      </w:rPr>
    </w:lvl>
    <w:lvl w:ilvl="7" w:tplc="6F582336" w:tentative="1">
      <w:start w:val="1"/>
      <w:numFmt w:val="bullet"/>
      <w:lvlText w:val="o"/>
      <w:lvlJc w:val="left"/>
      <w:pPr>
        <w:ind w:left="5760" w:hanging="360"/>
      </w:pPr>
      <w:rPr>
        <w:rFonts w:ascii="Courier New" w:hAnsi="Courier New" w:cs="Courier New" w:hint="default"/>
      </w:rPr>
    </w:lvl>
    <w:lvl w:ilvl="8" w:tplc="5B7E768A" w:tentative="1">
      <w:start w:val="1"/>
      <w:numFmt w:val="bullet"/>
      <w:lvlText w:val=""/>
      <w:lvlJc w:val="left"/>
      <w:pPr>
        <w:ind w:left="6480" w:hanging="360"/>
      </w:pPr>
      <w:rPr>
        <w:rFonts w:ascii="Wingdings" w:hAnsi="Wingdings" w:hint="default"/>
      </w:rPr>
    </w:lvl>
  </w:abstractNum>
  <w:abstractNum w:abstractNumId="2" w15:restartNumberingAfterBreak="0">
    <w:nsid w:val="1FD61F88"/>
    <w:multiLevelType w:val="hybridMultilevel"/>
    <w:tmpl w:val="B15203C0"/>
    <w:lvl w:ilvl="0" w:tplc="3BDCBEA2">
      <w:numFmt w:val="bullet"/>
      <w:lvlText w:val="-"/>
      <w:lvlJc w:val="left"/>
      <w:pPr>
        <w:ind w:left="1080" w:hanging="360"/>
      </w:pPr>
      <w:rPr>
        <w:rFonts w:ascii="Times New Roman" w:eastAsiaTheme="minorHAnsi" w:hAnsi="Times New Roman" w:cs="Times New Roman" w:hint="default"/>
      </w:rPr>
    </w:lvl>
    <w:lvl w:ilvl="1" w:tplc="E5208CAC" w:tentative="1">
      <w:start w:val="1"/>
      <w:numFmt w:val="bullet"/>
      <w:lvlText w:val="o"/>
      <w:lvlJc w:val="left"/>
      <w:pPr>
        <w:ind w:left="1800" w:hanging="360"/>
      </w:pPr>
      <w:rPr>
        <w:rFonts w:ascii="Courier New" w:hAnsi="Courier New" w:cs="Courier New" w:hint="default"/>
      </w:rPr>
    </w:lvl>
    <w:lvl w:ilvl="2" w:tplc="40B6ED0E" w:tentative="1">
      <w:start w:val="1"/>
      <w:numFmt w:val="bullet"/>
      <w:lvlText w:val=""/>
      <w:lvlJc w:val="left"/>
      <w:pPr>
        <w:ind w:left="2520" w:hanging="360"/>
      </w:pPr>
      <w:rPr>
        <w:rFonts w:ascii="Wingdings" w:hAnsi="Wingdings" w:hint="default"/>
      </w:rPr>
    </w:lvl>
    <w:lvl w:ilvl="3" w:tplc="EA7E8230" w:tentative="1">
      <w:start w:val="1"/>
      <w:numFmt w:val="bullet"/>
      <w:lvlText w:val=""/>
      <w:lvlJc w:val="left"/>
      <w:pPr>
        <w:ind w:left="3240" w:hanging="360"/>
      </w:pPr>
      <w:rPr>
        <w:rFonts w:ascii="Symbol" w:hAnsi="Symbol" w:hint="default"/>
      </w:rPr>
    </w:lvl>
    <w:lvl w:ilvl="4" w:tplc="0C3A5454" w:tentative="1">
      <w:start w:val="1"/>
      <w:numFmt w:val="bullet"/>
      <w:lvlText w:val="o"/>
      <w:lvlJc w:val="left"/>
      <w:pPr>
        <w:ind w:left="3960" w:hanging="360"/>
      </w:pPr>
      <w:rPr>
        <w:rFonts w:ascii="Courier New" w:hAnsi="Courier New" w:cs="Courier New" w:hint="default"/>
      </w:rPr>
    </w:lvl>
    <w:lvl w:ilvl="5" w:tplc="A000AF92" w:tentative="1">
      <w:start w:val="1"/>
      <w:numFmt w:val="bullet"/>
      <w:lvlText w:val=""/>
      <w:lvlJc w:val="left"/>
      <w:pPr>
        <w:ind w:left="4680" w:hanging="360"/>
      </w:pPr>
      <w:rPr>
        <w:rFonts w:ascii="Wingdings" w:hAnsi="Wingdings" w:hint="default"/>
      </w:rPr>
    </w:lvl>
    <w:lvl w:ilvl="6" w:tplc="1E1EB084" w:tentative="1">
      <w:start w:val="1"/>
      <w:numFmt w:val="bullet"/>
      <w:lvlText w:val=""/>
      <w:lvlJc w:val="left"/>
      <w:pPr>
        <w:ind w:left="5400" w:hanging="360"/>
      </w:pPr>
      <w:rPr>
        <w:rFonts w:ascii="Symbol" w:hAnsi="Symbol" w:hint="default"/>
      </w:rPr>
    </w:lvl>
    <w:lvl w:ilvl="7" w:tplc="4C48FA62" w:tentative="1">
      <w:start w:val="1"/>
      <w:numFmt w:val="bullet"/>
      <w:lvlText w:val="o"/>
      <w:lvlJc w:val="left"/>
      <w:pPr>
        <w:ind w:left="6120" w:hanging="360"/>
      </w:pPr>
      <w:rPr>
        <w:rFonts w:ascii="Courier New" w:hAnsi="Courier New" w:cs="Courier New" w:hint="default"/>
      </w:rPr>
    </w:lvl>
    <w:lvl w:ilvl="8" w:tplc="2BFE3840" w:tentative="1">
      <w:start w:val="1"/>
      <w:numFmt w:val="bullet"/>
      <w:lvlText w:val=""/>
      <w:lvlJc w:val="left"/>
      <w:pPr>
        <w:ind w:left="6840" w:hanging="360"/>
      </w:pPr>
      <w:rPr>
        <w:rFonts w:ascii="Wingdings" w:hAnsi="Wingdings" w:hint="default"/>
      </w:rPr>
    </w:lvl>
  </w:abstractNum>
  <w:abstractNum w:abstractNumId="3" w15:restartNumberingAfterBreak="0">
    <w:nsid w:val="36F0600C"/>
    <w:multiLevelType w:val="hybridMultilevel"/>
    <w:tmpl w:val="508698B8"/>
    <w:lvl w:ilvl="0" w:tplc="3EEA03D4">
      <w:numFmt w:val="bullet"/>
      <w:lvlText w:val="-"/>
      <w:lvlJc w:val="left"/>
      <w:pPr>
        <w:ind w:left="720" w:hanging="360"/>
      </w:pPr>
      <w:rPr>
        <w:rFonts w:ascii="Times New Roman" w:eastAsiaTheme="minorHAnsi" w:hAnsi="Times New Roman" w:cs="Times New Roman" w:hint="default"/>
      </w:rPr>
    </w:lvl>
    <w:lvl w:ilvl="1" w:tplc="25EAF530" w:tentative="1">
      <w:start w:val="1"/>
      <w:numFmt w:val="bullet"/>
      <w:lvlText w:val="o"/>
      <w:lvlJc w:val="left"/>
      <w:pPr>
        <w:ind w:left="1440" w:hanging="360"/>
      </w:pPr>
      <w:rPr>
        <w:rFonts w:ascii="Courier New" w:hAnsi="Courier New" w:cs="Courier New" w:hint="default"/>
      </w:rPr>
    </w:lvl>
    <w:lvl w:ilvl="2" w:tplc="EA50915E" w:tentative="1">
      <w:start w:val="1"/>
      <w:numFmt w:val="bullet"/>
      <w:lvlText w:val=""/>
      <w:lvlJc w:val="left"/>
      <w:pPr>
        <w:ind w:left="2160" w:hanging="360"/>
      </w:pPr>
      <w:rPr>
        <w:rFonts w:ascii="Wingdings" w:hAnsi="Wingdings" w:hint="default"/>
      </w:rPr>
    </w:lvl>
    <w:lvl w:ilvl="3" w:tplc="6EAE7ABE" w:tentative="1">
      <w:start w:val="1"/>
      <w:numFmt w:val="bullet"/>
      <w:lvlText w:val=""/>
      <w:lvlJc w:val="left"/>
      <w:pPr>
        <w:ind w:left="2880" w:hanging="360"/>
      </w:pPr>
      <w:rPr>
        <w:rFonts w:ascii="Symbol" w:hAnsi="Symbol" w:hint="default"/>
      </w:rPr>
    </w:lvl>
    <w:lvl w:ilvl="4" w:tplc="67F220BC" w:tentative="1">
      <w:start w:val="1"/>
      <w:numFmt w:val="bullet"/>
      <w:lvlText w:val="o"/>
      <w:lvlJc w:val="left"/>
      <w:pPr>
        <w:ind w:left="3600" w:hanging="360"/>
      </w:pPr>
      <w:rPr>
        <w:rFonts w:ascii="Courier New" w:hAnsi="Courier New" w:cs="Courier New" w:hint="default"/>
      </w:rPr>
    </w:lvl>
    <w:lvl w:ilvl="5" w:tplc="37B8FFCA" w:tentative="1">
      <w:start w:val="1"/>
      <w:numFmt w:val="bullet"/>
      <w:lvlText w:val=""/>
      <w:lvlJc w:val="left"/>
      <w:pPr>
        <w:ind w:left="4320" w:hanging="360"/>
      </w:pPr>
      <w:rPr>
        <w:rFonts w:ascii="Wingdings" w:hAnsi="Wingdings" w:hint="default"/>
      </w:rPr>
    </w:lvl>
    <w:lvl w:ilvl="6" w:tplc="85F0BA9E" w:tentative="1">
      <w:start w:val="1"/>
      <w:numFmt w:val="bullet"/>
      <w:lvlText w:val=""/>
      <w:lvlJc w:val="left"/>
      <w:pPr>
        <w:ind w:left="5040" w:hanging="360"/>
      </w:pPr>
      <w:rPr>
        <w:rFonts w:ascii="Symbol" w:hAnsi="Symbol" w:hint="default"/>
      </w:rPr>
    </w:lvl>
    <w:lvl w:ilvl="7" w:tplc="DF0EB9F0" w:tentative="1">
      <w:start w:val="1"/>
      <w:numFmt w:val="bullet"/>
      <w:lvlText w:val="o"/>
      <w:lvlJc w:val="left"/>
      <w:pPr>
        <w:ind w:left="5760" w:hanging="360"/>
      </w:pPr>
      <w:rPr>
        <w:rFonts w:ascii="Courier New" w:hAnsi="Courier New" w:cs="Courier New" w:hint="default"/>
      </w:rPr>
    </w:lvl>
    <w:lvl w:ilvl="8" w:tplc="C0BC83E0" w:tentative="1">
      <w:start w:val="1"/>
      <w:numFmt w:val="bullet"/>
      <w:lvlText w:val=""/>
      <w:lvlJc w:val="left"/>
      <w:pPr>
        <w:ind w:left="6480" w:hanging="360"/>
      </w:pPr>
      <w:rPr>
        <w:rFonts w:ascii="Wingdings" w:hAnsi="Wingdings" w:hint="default"/>
      </w:rPr>
    </w:lvl>
  </w:abstractNum>
  <w:abstractNum w:abstractNumId="4" w15:restartNumberingAfterBreak="0">
    <w:nsid w:val="3BD0517A"/>
    <w:multiLevelType w:val="hybridMultilevel"/>
    <w:tmpl w:val="0B82D53E"/>
    <w:lvl w:ilvl="0" w:tplc="A266B32A">
      <w:numFmt w:val="bullet"/>
      <w:lvlText w:val="-"/>
      <w:lvlJc w:val="left"/>
      <w:pPr>
        <w:ind w:left="720" w:hanging="360"/>
      </w:pPr>
      <w:rPr>
        <w:rFonts w:ascii="Times New Roman" w:eastAsiaTheme="minorHAnsi" w:hAnsi="Times New Roman" w:cs="Times New Roman" w:hint="default"/>
      </w:rPr>
    </w:lvl>
    <w:lvl w:ilvl="1" w:tplc="E33051CE" w:tentative="1">
      <w:start w:val="1"/>
      <w:numFmt w:val="bullet"/>
      <w:lvlText w:val="o"/>
      <w:lvlJc w:val="left"/>
      <w:pPr>
        <w:ind w:left="1440" w:hanging="360"/>
      </w:pPr>
      <w:rPr>
        <w:rFonts w:ascii="Courier New" w:hAnsi="Courier New" w:cs="Courier New" w:hint="default"/>
      </w:rPr>
    </w:lvl>
    <w:lvl w:ilvl="2" w:tplc="C302DB68" w:tentative="1">
      <w:start w:val="1"/>
      <w:numFmt w:val="bullet"/>
      <w:lvlText w:val=""/>
      <w:lvlJc w:val="left"/>
      <w:pPr>
        <w:ind w:left="2160" w:hanging="360"/>
      </w:pPr>
      <w:rPr>
        <w:rFonts w:ascii="Wingdings" w:hAnsi="Wingdings" w:hint="default"/>
      </w:rPr>
    </w:lvl>
    <w:lvl w:ilvl="3" w:tplc="9E9C64CA" w:tentative="1">
      <w:start w:val="1"/>
      <w:numFmt w:val="bullet"/>
      <w:lvlText w:val=""/>
      <w:lvlJc w:val="left"/>
      <w:pPr>
        <w:ind w:left="2880" w:hanging="360"/>
      </w:pPr>
      <w:rPr>
        <w:rFonts w:ascii="Symbol" w:hAnsi="Symbol" w:hint="default"/>
      </w:rPr>
    </w:lvl>
    <w:lvl w:ilvl="4" w:tplc="38929CF4" w:tentative="1">
      <w:start w:val="1"/>
      <w:numFmt w:val="bullet"/>
      <w:lvlText w:val="o"/>
      <w:lvlJc w:val="left"/>
      <w:pPr>
        <w:ind w:left="3600" w:hanging="360"/>
      </w:pPr>
      <w:rPr>
        <w:rFonts w:ascii="Courier New" w:hAnsi="Courier New" w:cs="Courier New" w:hint="default"/>
      </w:rPr>
    </w:lvl>
    <w:lvl w:ilvl="5" w:tplc="C6AEA976" w:tentative="1">
      <w:start w:val="1"/>
      <w:numFmt w:val="bullet"/>
      <w:lvlText w:val=""/>
      <w:lvlJc w:val="left"/>
      <w:pPr>
        <w:ind w:left="4320" w:hanging="360"/>
      </w:pPr>
      <w:rPr>
        <w:rFonts w:ascii="Wingdings" w:hAnsi="Wingdings" w:hint="default"/>
      </w:rPr>
    </w:lvl>
    <w:lvl w:ilvl="6" w:tplc="C2E4313C" w:tentative="1">
      <w:start w:val="1"/>
      <w:numFmt w:val="bullet"/>
      <w:lvlText w:val=""/>
      <w:lvlJc w:val="left"/>
      <w:pPr>
        <w:ind w:left="5040" w:hanging="360"/>
      </w:pPr>
      <w:rPr>
        <w:rFonts w:ascii="Symbol" w:hAnsi="Symbol" w:hint="default"/>
      </w:rPr>
    </w:lvl>
    <w:lvl w:ilvl="7" w:tplc="549440DE" w:tentative="1">
      <w:start w:val="1"/>
      <w:numFmt w:val="bullet"/>
      <w:lvlText w:val="o"/>
      <w:lvlJc w:val="left"/>
      <w:pPr>
        <w:ind w:left="5760" w:hanging="360"/>
      </w:pPr>
      <w:rPr>
        <w:rFonts w:ascii="Courier New" w:hAnsi="Courier New" w:cs="Courier New" w:hint="default"/>
      </w:rPr>
    </w:lvl>
    <w:lvl w:ilvl="8" w:tplc="E8C44030" w:tentative="1">
      <w:start w:val="1"/>
      <w:numFmt w:val="bullet"/>
      <w:lvlText w:val=""/>
      <w:lvlJc w:val="left"/>
      <w:pPr>
        <w:ind w:left="6480" w:hanging="360"/>
      </w:pPr>
      <w:rPr>
        <w:rFonts w:ascii="Wingdings" w:hAnsi="Wingdings" w:hint="default"/>
      </w:rPr>
    </w:lvl>
  </w:abstractNum>
  <w:abstractNum w:abstractNumId="5" w15:restartNumberingAfterBreak="0">
    <w:nsid w:val="405A02DF"/>
    <w:multiLevelType w:val="hybridMultilevel"/>
    <w:tmpl w:val="A3C0985A"/>
    <w:lvl w:ilvl="0" w:tplc="DC2E54C8">
      <w:numFmt w:val="bullet"/>
      <w:lvlText w:val="-"/>
      <w:lvlJc w:val="left"/>
      <w:pPr>
        <w:ind w:left="720" w:hanging="360"/>
      </w:pPr>
      <w:rPr>
        <w:rFonts w:ascii="Times New Roman" w:eastAsiaTheme="minorHAnsi" w:hAnsi="Times New Roman" w:cs="Times New Roman" w:hint="default"/>
      </w:rPr>
    </w:lvl>
    <w:lvl w:ilvl="1" w:tplc="EE76E7DE" w:tentative="1">
      <w:start w:val="1"/>
      <w:numFmt w:val="bullet"/>
      <w:lvlText w:val="o"/>
      <w:lvlJc w:val="left"/>
      <w:pPr>
        <w:ind w:left="1440" w:hanging="360"/>
      </w:pPr>
      <w:rPr>
        <w:rFonts w:ascii="Courier New" w:hAnsi="Courier New" w:cs="Courier New" w:hint="default"/>
      </w:rPr>
    </w:lvl>
    <w:lvl w:ilvl="2" w:tplc="F682680C" w:tentative="1">
      <w:start w:val="1"/>
      <w:numFmt w:val="bullet"/>
      <w:lvlText w:val=""/>
      <w:lvlJc w:val="left"/>
      <w:pPr>
        <w:ind w:left="2160" w:hanging="360"/>
      </w:pPr>
      <w:rPr>
        <w:rFonts w:ascii="Wingdings" w:hAnsi="Wingdings" w:hint="default"/>
      </w:rPr>
    </w:lvl>
    <w:lvl w:ilvl="3" w:tplc="FC54D27A" w:tentative="1">
      <w:start w:val="1"/>
      <w:numFmt w:val="bullet"/>
      <w:lvlText w:val=""/>
      <w:lvlJc w:val="left"/>
      <w:pPr>
        <w:ind w:left="2880" w:hanging="360"/>
      </w:pPr>
      <w:rPr>
        <w:rFonts w:ascii="Symbol" w:hAnsi="Symbol" w:hint="default"/>
      </w:rPr>
    </w:lvl>
    <w:lvl w:ilvl="4" w:tplc="09207D08" w:tentative="1">
      <w:start w:val="1"/>
      <w:numFmt w:val="bullet"/>
      <w:lvlText w:val="o"/>
      <w:lvlJc w:val="left"/>
      <w:pPr>
        <w:ind w:left="3600" w:hanging="360"/>
      </w:pPr>
      <w:rPr>
        <w:rFonts w:ascii="Courier New" w:hAnsi="Courier New" w:cs="Courier New" w:hint="default"/>
      </w:rPr>
    </w:lvl>
    <w:lvl w:ilvl="5" w:tplc="2DEAB55A" w:tentative="1">
      <w:start w:val="1"/>
      <w:numFmt w:val="bullet"/>
      <w:lvlText w:val=""/>
      <w:lvlJc w:val="left"/>
      <w:pPr>
        <w:ind w:left="4320" w:hanging="360"/>
      </w:pPr>
      <w:rPr>
        <w:rFonts w:ascii="Wingdings" w:hAnsi="Wingdings" w:hint="default"/>
      </w:rPr>
    </w:lvl>
    <w:lvl w:ilvl="6" w:tplc="AF54B92A" w:tentative="1">
      <w:start w:val="1"/>
      <w:numFmt w:val="bullet"/>
      <w:lvlText w:val=""/>
      <w:lvlJc w:val="left"/>
      <w:pPr>
        <w:ind w:left="5040" w:hanging="360"/>
      </w:pPr>
      <w:rPr>
        <w:rFonts w:ascii="Symbol" w:hAnsi="Symbol" w:hint="default"/>
      </w:rPr>
    </w:lvl>
    <w:lvl w:ilvl="7" w:tplc="2A845480" w:tentative="1">
      <w:start w:val="1"/>
      <w:numFmt w:val="bullet"/>
      <w:lvlText w:val="o"/>
      <w:lvlJc w:val="left"/>
      <w:pPr>
        <w:ind w:left="5760" w:hanging="360"/>
      </w:pPr>
      <w:rPr>
        <w:rFonts w:ascii="Courier New" w:hAnsi="Courier New" w:cs="Courier New" w:hint="default"/>
      </w:rPr>
    </w:lvl>
    <w:lvl w:ilvl="8" w:tplc="26528144" w:tentative="1">
      <w:start w:val="1"/>
      <w:numFmt w:val="bullet"/>
      <w:lvlText w:val=""/>
      <w:lvlJc w:val="left"/>
      <w:pPr>
        <w:ind w:left="6480" w:hanging="360"/>
      </w:pPr>
      <w:rPr>
        <w:rFonts w:ascii="Wingdings" w:hAnsi="Wingdings" w:hint="default"/>
      </w:rPr>
    </w:lvl>
  </w:abstractNum>
  <w:abstractNum w:abstractNumId="6" w15:restartNumberingAfterBreak="0">
    <w:nsid w:val="56CE76E8"/>
    <w:multiLevelType w:val="hybridMultilevel"/>
    <w:tmpl w:val="E81E4D06"/>
    <w:lvl w:ilvl="0" w:tplc="4C06F094">
      <w:numFmt w:val="bullet"/>
      <w:lvlText w:val="-"/>
      <w:lvlJc w:val="left"/>
      <w:pPr>
        <w:ind w:left="720" w:hanging="360"/>
      </w:pPr>
      <w:rPr>
        <w:rFonts w:ascii="Times New Roman" w:eastAsiaTheme="minorHAnsi" w:hAnsi="Times New Roman" w:cs="Times New Roman" w:hint="default"/>
      </w:rPr>
    </w:lvl>
    <w:lvl w:ilvl="1" w:tplc="F664DD14" w:tentative="1">
      <w:start w:val="1"/>
      <w:numFmt w:val="bullet"/>
      <w:lvlText w:val="o"/>
      <w:lvlJc w:val="left"/>
      <w:pPr>
        <w:ind w:left="1440" w:hanging="360"/>
      </w:pPr>
      <w:rPr>
        <w:rFonts w:ascii="Courier New" w:hAnsi="Courier New" w:cs="Courier New" w:hint="default"/>
      </w:rPr>
    </w:lvl>
    <w:lvl w:ilvl="2" w:tplc="FA042ED4" w:tentative="1">
      <w:start w:val="1"/>
      <w:numFmt w:val="bullet"/>
      <w:lvlText w:val=""/>
      <w:lvlJc w:val="left"/>
      <w:pPr>
        <w:ind w:left="2160" w:hanging="360"/>
      </w:pPr>
      <w:rPr>
        <w:rFonts w:ascii="Wingdings" w:hAnsi="Wingdings" w:hint="default"/>
      </w:rPr>
    </w:lvl>
    <w:lvl w:ilvl="3" w:tplc="CC8492C2" w:tentative="1">
      <w:start w:val="1"/>
      <w:numFmt w:val="bullet"/>
      <w:lvlText w:val=""/>
      <w:lvlJc w:val="left"/>
      <w:pPr>
        <w:ind w:left="2880" w:hanging="360"/>
      </w:pPr>
      <w:rPr>
        <w:rFonts w:ascii="Symbol" w:hAnsi="Symbol" w:hint="default"/>
      </w:rPr>
    </w:lvl>
    <w:lvl w:ilvl="4" w:tplc="A594A10C" w:tentative="1">
      <w:start w:val="1"/>
      <w:numFmt w:val="bullet"/>
      <w:lvlText w:val="o"/>
      <w:lvlJc w:val="left"/>
      <w:pPr>
        <w:ind w:left="3600" w:hanging="360"/>
      </w:pPr>
      <w:rPr>
        <w:rFonts w:ascii="Courier New" w:hAnsi="Courier New" w:cs="Courier New" w:hint="default"/>
      </w:rPr>
    </w:lvl>
    <w:lvl w:ilvl="5" w:tplc="C6682A00" w:tentative="1">
      <w:start w:val="1"/>
      <w:numFmt w:val="bullet"/>
      <w:lvlText w:val=""/>
      <w:lvlJc w:val="left"/>
      <w:pPr>
        <w:ind w:left="4320" w:hanging="360"/>
      </w:pPr>
      <w:rPr>
        <w:rFonts w:ascii="Wingdings" w:hAnsi="Wingdings" w:hint="default"/>
      </w:rPr>
    </w:lvl>
    <w:lvl w:ilvl="6" w:tplc="CABC2D82" w:tentative="1">
      <w:start w:val="1"/>
      <w:numFmt w:val="bullet"/>
      <w:lvlText w:val=""/>
      <w:lvlJc w:val="left"/>
      <w:pPr>
        <w:ind w:left="5040" w:hanging="360"/>
      </w:pPr>
      <w:rPr>
        <w:rFonts w:ascii="Symbol" w:hAnsi="Symbol" w:hint="default"/>
      </w:rPr>
    </w:lvl>
    <w:lvl w:ilvl="7" w:tplc="4F0E341C" w:tentative="1">
      <w:start w:val="1"/>
      <w:numFmt w:val="bullet"/>
      <w:lvlText w:val="o"/>
      <w:lvlJc w:val="left"/>
      <w:pPr>
        <w:ind w:left="5760" w:hanging="360"/>
      </w:pPr>
      <w:rPr>
        <w:rFonts w:ascii="Courier New" w:hAnsi="Courier New" w:cs="Courier New" w:hint="default"/>
      </w:rPr>
    </w:lvl>
    <w:lvl w:ilvl="8" w:tplc="A52E7580" w:tentative="1">
      <w:start w:val="1"/>
      <w:numFmt w:val="bullet"/>
      <w:lvlText w:val=""/>
      <w:lvlJc w:val="left"/>
      <w:pPr>
        <w:ind w:left="6480" w:hanging="360"/>
      </w:pPr>
      <w:rPr>
        <w:rFonts w:ascii="Wingdings" w:hAnsi="Wingdings" w:hint="default"/>
      </w:rPr>
    </w:lvl>
  </w:abstractNum>
  <w:abstractNum w:abstractNumId="7" w15:restartNumberingAfterBreak="0">
    <w:nsid w:val="5964269E"/>
    <w:multiLevelType w:val="hybridMultilevel"/>
    <w:tmpl w:val="6684684E"/>
    <w:lvl w:ilvl="0" w:tplc="030A0ED2">
      <w:numFmt w:val="bullet"/>
      <w:lvlText w:val="-"/>
      <w:lvlJc w:val="left"/>
      <w:pPr>
        <w:ind w:left="720" w:hanging="360"/>
      </w:pPr>
      <w:rPr>
        <w:rFonts w:ascii="Times New Roman" w:eastAsiaTheme="minorHAnsi" w:hAnsi="Times New Roman" w:cs="Times New Roman" w:hint="default"/>
      </w:rPr>
    </w:lvl>
    <w:lvl w:ilvl="1" w:tplc="C8FE49A8" w:tentative="1">
      <w:start w:val="1"/>
      <w:numFmt w:val="bullet"/>
      <w:lvlText w:val="o"/>
      <w:lvlJc w:val="left"/>
      <w:pPr>
        <w:ind w:left="1440" w:hanging="360"/>
      </w:pPr>
      <w:rPr>
        <w:rFonts w:ascii="Courier New" w:hAnsi="Courier New" w:cs="Courier New" w:hint="default"/>
      </w:rPr>
    </w:lvl>
    <w:lvl w:ilvl="2" w:tplc="34527B72" w:tentative="1">
      <w:start w:val="1"/>
      <w:numFmt w:val="bullet"/>
      <w:lvlText w:val=""/>
      <w:lvlJc w:val="left"/>
      <w:pPr>
        <w:ind w:left="2160" w:hanging="360"/>
      </w:pPr>
      <w:rPr>
        <w:rFonts w:ascii="Wingdings" w:hAnsi="Wingdings" w:hint="default"/>
      </w:rPr>
    </w:lvl>
    <w:lvl w:ilvl="3" w:tplc="24D671B4" w:tentative="1">
      <w:start w:val="1"/>
      <w:numFmt w:val="bullet"/>
      <w:lvlText w:val=""/>
      <w:lvlJc w:val="left"/>
      <w:pPr>
        <w:ind w:left="2880" w:hanging="360"/>
      </w:pPr>
      <w:rPr>
        <w:rFonts w:ascii="Symbol" w:hAnsi="Symbol" w:hint="default"/>
      </w:rPr>
    </w:lvl>
    <w:lvl w:ilvl="4" w:tplc="651C4864" w:tentative="1">
      <w:start w:val="1"/>
      <w:numFmt w:val="bullet"/>
      <w:lvlText w:val="o"/>
      <w:lvlJc w:val="left"/>
      <w:pPr>
        <w:ind w:left="3600" w:hanging="360"/>
      </w:pPr>
      <w:rPr>
        <w:rFonts w:ascii="Courier New" w:hAnsi="Courier New" w:cs="Courier New" w:hint="default"/>
      </w:rPr>
    </w:lvl>
    <w:lvl w:ilvl="5" w:tplc="A57891B2" w:tentative="1">
      <w:start w:val="1"/>
      <w:numFmt w:val="bullet"/>
      <w:lvlText w:val=""/>
      <w:lvlJc w:val="left"/>
      <w:pPr>
        <w:ind w:left="4320" w:hanging="360"/>
      </w:pPr>
      <w:rPr>
        <w:rFonts w:ascii="Wingdings" w:hAnsi="Wingdings" w:hint="default"/>
      </w:rPr>
    </w:lvl>
    <w:lvl w:ilvl="6" w:tplc="071E7880" w:tentative="1">
      <w:start w:val="1"/>
      <w:numFmt w:val="bullet"/>
      <w:lvlText w:val=""/>
      <w:lvlJc w:val="left"/>
      <w:pPr>
        <w:ind w:left="5040" w:hanging="360"/>
      </w:pPr>
      <w:rPr>
        <w:rFonts w:ascii="Symbol" w:hAnsi="Symbol" w:hint="default"/>
      </w:rPr>
    </w:lvl>
    <w:lvl w:ilvl="7" w:tplc="31420FC0" w:tentative="1">
      <w:start w:val="1"/>
      <w:numFmt w:val="bullet"/>
      <w:lvlText w:val="o"/>
      <w:lvlJc w:val="left"/>
      <w:pPr>
        <w:ind w:left="5760" w:hanging="360"/>
      </w:pPr>
      <w:rPr>
        <w:rFonts w:ascii="Courier New" w:hAnsi="Courier New" w:cs="Courier New" w:hint="default"/>
      </w:rPr>
    </w:lvl>
    <w:lvl w:ilvl="8" w:tplc="9DFC6424" w:tentative="1">
      <w:start w:val="1"/>
      <w:numFmt w:val="bullet"/>
      <w:lvlText w:val=""/>
      <w:lvlJc w:val="left"/>
      <w:pPr>
        <w:ind w:left="6480" w:hanging="360"/>
      </w:pPr>
      <w:rPr>
        <w:rFonts w:ascii="Wingdings" w:hAnsi="Wingdings" w:hint="default"/>
      </w:rPr>
    </w:lvl>
  </w:abstractNum>
  <w:num w:numId="1" w16cid:durableId="350298329">
    <w:abstractNumId w:val="3"/>
  </w:num>
  <w:num w:numId="2" w16cid:durableId="1061028224">
    <w:abstractNumId w:val="4"/>
  </w:num>
  <w:num w:numId="3" w16cid:durableId="980232640">
    <w:abstractNumId w:val="7"/>
  </w:num>
  <w:num w:numId="4" w16cid:durableId="1248422897">
    <w:abstractNumId w:val="5"/>
  </w:num>
  <w:num w:numId="5" w16cid:durableId="274678783">
    <w:abstractNumId w:val="6"/>
  </w:num>
  <w:num w:numId="6" w16cid:durableId="371006195">
    <w:abstractNumId w:val="1"/>
  </w:num>
  <w:num w:numId="7" w16cid:durableId="95640522">
    <w:abstractNumId w:val="2"/>
  </w:num>
  <w:num w:numId="8" w16cid:durableId="60353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B62"/>
    <w:rsid w:val="00055341"/>
    <w:rsid w:val="00087EC5"/>
    <w:rsid w:val="00111319"/>
    <w:rsid w:val="001D181A"/>
    <w:rsid w:val="0029239F"/>
    <w:rsid w:val="00331EA0"/>
    <w:rsid w:val="00391002"/>
    <w:rsid w:val="00436A42"/>
    <w:rsid w:val="00456C27"/>
    <w:rsid w:val="00580C07"/>
    <w:rsid w:val="00636197"/>
    <w:rsid w:val="006821F1"/>
    <w:rsid w:val="006976D9"/>
    <w:rsid w:val="00785C34"/>
    <w:rsid w:val="00830DDB"/>
    <w:rsid w:val="00904F64"/>
    <w:rsid w:val="009719C1"/>
    <w:rsid w:val="009807EC"/>
    <w:rsid w:val="009C7AEA"/>
    <w:rsid w:val="009F0B62"/>
    <w:rsid w:val="00B11F98"/>
    <w:rsid w:val="00B23ECB"/>
    <w:rsid w:val="00B5449C"/>
    <w:rsid w:val="00BC6FBE"/>
    <w:rsid w:val="00D21AB3"/>
    <w:rsid w:val="00E25787"/>
    <w:rsid w:val="00EB2E42"/>
    <w:rsid w:val="00EC51F1"/>
    <w:rsid w:val="00F4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C0F2"/>
  <w15:chartTrackingRefBased/>
  <w15:docId w15:val="{BB33B743-2AF6-47B2-9B96-F5CB171B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1F98"/>
    <w:pPr>
      <w:spacing w:before="100" w:beforeAutospacing="1" w:after="100" w:afterAutospacing="1" w:line="240" w:lineRule="auto"/>
      <w:outlineLvl w:val="2"/>
    </w:pPr>
    <w:rPr>
      <w:rFonts w:eastAsia="Times New Roman"/>
      <w:b/>
      <w:iCs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C5"/>
    <w:pPr>
      <w:ind w:left="720"/>
      <w:contextualSpacing/>
    </w:pPr>
  </w:style>
  <w:style w:type="character" w:styleId="Hyperlink">
    <w:name w:val="Hyperlink"/>
    <w:basedOn w:val="DefaultParagraphFont"/>
    <w:uiPriority w:val="99"/>
    <w:unhideWhenUsed/>
    <w:rsid w:val="00B5449C"/>
    <w:rPr>
      <w:color w:val="0563C1" w:themeColor="hyperlink"/>
      <w:u w:val="single"/>
    </w:rPr>
  </w:style>
  <w:style w:type="character" w:styleId="UnresolvedMention">
    <w:name w:val="Unresolved Mention"/>
    <w:basedOn w:val="DefaultParagraphFont"/>
    <w:uiPriority w:val="99"/>
    <w:semiHidden/>
    <w:unhideWhenUsed/>
    <w:rsid w:val="00B5449C"/>
    <w:rPr>
      <w:color w:val="605E5C"/>
      <w:shd w:val="clear" w:color="auto" w:fill="E1DFDD"/>
    </w:rPr>
  </w:style>
  <w:style w:type="character" w:customStyle="1" w:styleId="Heading3Char">
    <w:name w:val="Heading 3 Char"/>
    <w:basedOn w:val="DefaultParagraphFont"/>
    <w:link w:val="Heading3"/>
    <w:uiPriority w:val="9"/>
    <w:rsid w:val="00B11F98"/>
    <w:rPr>
      <w:rFonts w:eastAsia="Times New Roman"/>
      <w:b/>
      <w:iCs w:val="0"/>
      <w:sz w:val="27"/>
      <w:szCs w:val="27"/>
    </w:rPr>
  </w:style>
  <w:style w:type="character" w:customStyle="1" w:styleId="gsct1">
    <w:name w:val="gs_ct1"/>
    <w:basedOn w:val="DefaultParagraphFont"/>
    <w:rsid w:val="00B11F98"/>
  </w:style>
  <w:style w:type="character" w:styleId="FollowedHyperlink">
    <w:name w:val="FollowedHyperlink"/>
    <w:basedOn w:val="DefaultParagraphFont"/>
    <w:uiPriority w:val="99"/>
    <w:semiHidden/>
    <w:unhideWhenUsed/>
    <w:rsid w:val="00B11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15927">
      <w:bodyDiv w:val="1"/>
      <w:marLeft w:val="0"/>
      <w:marRight w:val="0"/>
      <w:marTop w:val="0"/>
      <w:marBottom w:val="0"/>
      <w:divBdr>
        <w:top w:val="none" w:sz="0" w:space="0" w:color="auto"/>
        <w:left w:val="none" w:sz="0" w:space="0" w:color="auto"/>
        <w:bottom w:val="none" w:sz="0" w:space="0" w:color="auto"/>
        <w:right w:val="none" w:sz="0" w:space="0" w:color="auto"/>
      </w:divBdr>
    </w:div>
    <w:div w:id="332339399">
      <w:bodyDiv w:val="1"/>
      <w:marLeft w:val="0"/>
      <w:marRight w:val="0"/>
      <w:marTop w:val="0"/>
      <w:marBottom w:val="0"/>
      <w:divBdr>
        <w:top w:val="none" w:sz="0" w:space="0" w:color="auto"/>
        <w:left w:val="none" w:sz="0" w:space="0" w:color="auto"/>
        <w:bottom w:val="none" w:sz="0" w:space="0" w:color="auto"/>
        <w:right w:val="none" w:sz="0" w:space="0" w:color="auto"/>
      </w:divBdr>
    </w:div>
    <w:div w:id="395326965">
      <w:bodyDiv w:val="1"/>
      <w:marLeft w:val="0"/>
      <w:marRight w:val="0"/>
      <w:marTop w:val="0"/>
      <w:marBottom w:val="0"/>
      <w:divBdr>
        <w:top w:val="none" w:sz="0" w:space="0" w:color="auto"/>
        <w:left w:val="none" w:sz="0" w:space="0" w:color="auto"/>
        <w:bottom w:val="none" w:sz="0" w:space="0" w:color="auto"/>
        <w:right w:val="none" w:sz="0" w:space="0" w:color="auto"/>
      </w:divBdr>
    </w:div>
    <w:div w:id="403456577">
      <w:bodyDiv w:val="1"/>
      <w:marLeft w:val="0"/>
      <w:marRight w:val="0"/>
      <w:marTop w:val="0"/>
      <w:marBottom w:val="0"/>
      <w:divBdr>
        <w:top w:val="none" w:sz="0" w:space="0" w:color="auto"/>
        <w:left w:val="none" w:sz="0" w:space="0" w:color="auto"/>
        <w:bottom w:val="none" w:sz="0" w:space="0" w:color="auto"/>
        <w:right w:val="none" w:sz="0" w:space="0" w:color="auto"/>
      </w:divBdr>
    </w:div>
    <w:div w:id="450052986">
      <w:bodyDiv w:val="1"/>
      <w:marLeft w:val="0"/>
      <w:marRight w:val="0"/>
      <w:marTop w:val="0"/>
      <w:marBottom w:val="0"/>
      <w:divBdr>
        <w:top w:val="none" w:sz="0" w:space="0" w:color="auto"/>
        <w:left w:val="none" w:sz="0" w:space="0" w:color="auto"/>
        <w:bottom w:val="none" w:sz="0" w:space="0" w:color="auto"/>
        <w:right w:val="none" w:sz="0" w:space="0" w:color="auto"/>
      </w:divBdr>
    </w:div>
    <w:div w:id="885919095">
      <w:bodyDiv w:val="1"/>
      <w:marLeft w:val="0"/>
      <w:marRight w:val="0"/>
      <w:marTop w:val="0"/>
      <w:marBottom w:val="0"/>
      <w:divBdr>
        <w:top w:val="none" w:sz="0" w:space="0" w:color="auto"/>
        <w:left w:val="none" w:sz="0" w:space="0" w:color="auto"/>
        <w:bottom w:val="none" w:sz="0" w:space="0" w:color="auto"/>
        <w:right w:val="none" w:sz="0" w:space="0" w:color="auto"/>
      </w:divBdr>
    </w:div>
    <w:div w:id="962804239">
      <w:bodyDiv w:val="1"/>
      <w:marLeft w:val="0"/>
      <w:marRight w:val="0"/>
      <w:marTop w:val="0"/>
      <w:marBottom w:val="0"/>
      <w:divBdr>
        <w:top w:val="none" w:sz="0" w:space="0" w:color="auto"/>
        <w:left w:val="none" w:sz="0" w:space="0" w:color="auto"/>
        <w:bottom w:val="none" w:sz="0" w:space="0" w:color="auto"/>
        <w:right w:val="none" w:sz="0" w:space="0" w:color="auto"/>
      </w:divBdr>
    </w:div>
    <w:div w:id="1303773413">
      <w:bodyDiv w:val="1"/>
      <w:marLeft w:val="0"/>
      <w:marRight w:val="0"/>
      <w:marTop w:val="0"/>
      <w:marBottom w:val="0"/>
      <w:divBdr>
        <w:top w:val="none" w:sz="0" w:space="0" w:color="auto"/>
        <w:left w:val="none" w:sz="0" w:space="0" w:color="auto"/>
        <w:bottom w:val="none" w:sz="0" w:space="0" w:color="auto"/>
        <w:right w:val="none" w:sz="0" w:space="0" w:color="auto"/>
      </w:divBdr>
    </w:div>
    <w:div w:id="1683509405">
      <w:bodyDiv w:val="1"/>
      <w:marLeft w:val="0"/>
      <w:marRight w:val="0"/>
      <w:marTop w:val="0"/>
      <w:marBottom w:val="0"/>
      <w:divBdr>
        <w:top w:val="none" w:sz="0" w:space="0" w:color="auto"/>
        <w:left w:val="none" w:sz="0" w:space="0" w:color="auto"/>
        <w:bottom w:val="none" w:sz="0" w:space="0" w:color="auto"/>
        <w:right w:val="none" w:sz="0" w:space="0" w:color="auto"/>
      </w:divBdr>
    </w:div>
    <w:div w:id="1872985919">
      <w:bodyDiv w:val="1"/>
      <w:marLeft w:val="0"/>
      <w:marRight w:val="0"/>
      <w:marTop w:val="0"/>
      <w:marBottom w:val="0"/>
      <w:divBdr>
        <w:top w:val="none" w:sz="0" w:space="0" w:color="auto"/>
        <w:left w:val="none" w:sz="0" w:space="0" w:color="auto"/>
        <w:bottom w:val="none" w:sz="0" w:space="0" w:color="auto"/>
        <w:right w:val="none" w:sz="0" w:space="0" w:color="auto"/>
      </w:divBdr>
    </w:div>
    <w:div w:id="2047831060">
      <w:bodyDiv w:val="1"/>
      <w:marLeft w:val="0"/>
      <w:marRight w:val="0"/>
      <w:marTop w:val="0"/>
      <w:marBottom w:val="0"/>
      <w:divBdr>
        <w:top w:val="none" w:sz="0" w:space="0" w:color="auto"/>
        <w:left w:val="none" w:sz="0" w:space="0" w:color="auto"/>
        <w:bottom w:val="none" w:sz="0" w:space="0" w:color="auto"/>
        <w:right w:val="none" w:sz="0" w:space="0" w:color="auto"/>
      </w:divBdr>
    </w:div>
    <w:div w:id="21180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20-003-0460-7" TargetMode="External"/><Relationship Id="rId13" Type="http://schemas.openxmlformats.org/officeDocument/2006/relationships/hyperlink" Target="https://www.nature.com/articles/s41393-019-0331-z" TargetMode="External"/><Relationship Id="rId18" Type="http://schemas.openxmlformats.org/officeDocument/2006/relationships/hyperlink" Target="https://www.jci.org/articles/view/90608" TargetMode="External"/><Relationship Id="rId3" Type="http://schemas.openxmlformats.org/officeDocument/2006/relationships/settings" Target="settings.xml"/><Relationship Id="rId21" Type="http://schemas.openxmlformats.org/officeDocument/2006/relationships/hyperlink" Target="https://link.springer.com/chapter/10.1007/978-1-4614-9123-1_1" TargetMode="External"/><Relationship Id="rId7" Type="http://schemas.openxmlformats.org/officeDocument/2006/relationships/hyperlink" Target="https://research.vu.nl/files/88639395/complete%20dissertation.pdf" TargetMode="External"/><Relationship Id="rId12" Type="http://schemas.openxmlformats.org/officeDocument/2006/relationships/hyperlink" Target="https://www.sciencedirect.com/science/article/abs/pii/S1878875017321241" TargetMode="External"/><Relationship Id="rId17" Type="http://schemas.openxmlformats.org/officeDocument/2006/relationships/hyperlink" Target="https://onlinelibrary.wiley.com/doi/abs/10.1002/cne.902200306" TargetMode="External"/><Relationship Id="rId2" Type="http://schemas.openxmlformats.org/officeDocument/2006/relationships/styles" Target="styles.xml"/><Relationship Id="rId16" Type="http://schemas.openxmlformats.org/officeDocument/2006/relationships/hyperlink" Target="https://www.thelancet.com/journals/lancet/article/PIIS0140-6736(02)07603-1/abstract" TargetMode="External"/><Relationship Id="rId20" Type="http://schemas.openxmlformats.org/officeDocument/2006/relationships/hyperlink" Target="https://www.tandfonline.com/doi/abs/10.3109/10903127.2014.936634" TargetMode="External"/><Relationship Id="rId1" Type="http://schemas.openxmlformats.org/officeDocument/2006/relationships/numbering" Target="numbering.xml"/><Relationship Id="rId6" Type="http://schemas.openxmlformats.org/officeDocument/2006/relationships/hyperlink" Target="https://www.mdpi.com/1422-0067/21/20/7533" TargetMode="External"/><Relationship Id="rId11" Type="http://schemas.openxmlformats.org/officeDocument/2006/relationships/hyperlink" Target="https://onlinelibrary.wiley.com/doi/abs/10.1002/adhm.201601130" TargetMode="External"/><Relationship Id="rId5" Type="http://schemas.openxmlformats.org/officeDocument/2006/relationships/hyperlink" Target="https://www.sciencedirect.com/science/article/abs/pii/S0972978X21002324" TargetMode="External"/><Relationship Id="rId15" Type="http://schemas.openxmlformats.org/officeDocument/2006/relationships/hyperlink" Target="https://link.springer.com/article/10.1007/s00198-019-05212-2" TargetMode="External"/><Relationship Id="rId23" Type="http://schemas.openxmlformats.org/officeDocument/2006/relationships/theme" Target="theme/theme1.xml"/><Relationship Id="rId10" Type="http://schemas.openxmlformats.org/officeDocument/2006/relationships/hyperlink" Target="https://journals.lww.com/clinicalneuropharm/abstract/2001/09000/acute_spinal_cord_injury,_part_i__pathophysiologic.2.aspx" TargetMode="External"/><Relationship Id="rId19" Type="http://schemas.openxmlformats.org/officeDocument/2006/relationships/hyperlink" Target="https://www.annualreviews.org/doi/pdf/10.1146/annurev.pu.13.050192.002421" TargetMode="External"/><Relationship Id="rId4" Type="http://schemas.openxmlformats.org/officeDocument/2006/relationships/webSettings" Target="webSettings.xml"/><Relationship Id="rId9" Type="http://schemas.openxmlformats.org/officeDocument/2006/relationships/hyperlink" Target="https://www.liebertpub.com/doi/abs/10.1089/neu.2017.5357" TargetMode="External"/><Relationship Id="rId14" Type="http://schemas.openxmlformats.org/officeDocument/2006/relationships/hyperlink" Target="https://www.liebertpub.com/doi/abs/10.1089/neu.2014.354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Sizemore</dc:creator>
  <cp:lastModifiedBy>George</cp:lastModifiedBy>
  <cp:revision>2</cp:revision>
  <dcterms:created xsi:type="dcterms:W3CDTF">2024-04-12T05:48:00Z</dcterms:created>
  <dcterms:modified xsi:type="dcterms:W3CDTF">2024-04-12T05:48:00Z</dcterms:modified>
</cp:coreProperties>
</file>