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3.png" ContentType="image/png"/>
  <Override PartName="/word/media/rId44.png" ContentType="image/png"/>
  <Override PartName="/word/media/rId20.jpg" ContentType="image/jpeg"/>
  <Override PartName="/word/media/rId66.png" ContentType="image/png"/>
  <Override PartName="/word/media/rId71.png" ContentType="image/png"/>
  <Override PartName="/word/media/rId73.png" ContentType="image/png"/>
  <Override PartName="/word/media/rId75.png" ContentType="image/png"/>
  <Override PartName="/word/media/rId77.png" ContentType="image/png"/>
  <Override PartName="/word/media/rId67.png" ContentType="image/png"/>
  <Override PartName="/word/media/rId68.png" ContentType="image/png"/>
  <Override PartName="/word/media/rId69.png" ContentType="image/png"/>
  <Override PartName="/word/media/rId81.png" ContentType="image/png"/>
  <Override PartName="/word/media/rId46.png" ContentType="image/png"/>
  <Override PartName="/word/media/rId47.png" ContentType="image/png"/>
  <Override PartName="/word/media/rId36.png" ContentType="image/png"/>
  <Override PartName="/word/media/rId49.png" ContentType="image/png"/>
  <Override PartName="/word/media/rId55.png" ContentType="image/png"/>
  <Override PartName="/word/media/rId43.png" ContentType="image/png"/>
  <Override PartName="/word/media/rId51.png" ContentType="image/png"/>
  <Override PartName="/word/media/image1.png" ContentType="image/pn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Hanjin</w:t>
      </w:r>
      <w:r>
        <w:t xml:space="preserve"> </w:t>
      </w:r>
      <w:r>
        <w:t xml:space="preserve">Shipyard</w:t>
      </w:r>
      <w:r>
        <w:t xml:space="preserve"> </w:t>
      </w:r>
      <w:r>
        <w:t xml:space="preserve">Technical</w:t>
      </w:r>
      <w:r>
        <w:t xml:space="preserve"> </w:t>
      </w:r>
      <w:r>
        <w:t xml:space="preserve">Due</w:t>
      </w:r>
      <w:r>
        <w:t xml:space="preserve"> </w:t>
      </w:r>
      <w:r>
        <w:t xml:space="preserve">Diligence</w:t>
      </w:r>
    </w:p>
    <w:p>
      <w:pPr>
        <w:pStyle w:val="Subtitle"/>
      </w:pPr>
      <w:r>
        <w:t xml:space="preserve">BALLPARK</w:t>
      </w:r>
      <w:r>
        <w:t xml:space="preserve"> </w:t>
      </w:r>
      <w:r>
        <w:t xml:space="preserve">ESTIMATE</w:t>
      </w:r>
      <w:r>
        <w:t xml:space="preserve"> </w:t>
      </w:r>
      <w:r>
        <w:t xml:space="preserve">OF</w:t>
      </w:r>
      <w:r>
        <w:t xml:space="preserve"> </w:t>
      </w:r>
      <w:r>
        <w:t xml:space="preserve">INTERVENTIONS</w:t>
      </w:r>
      <w:r>
        <w:t xml:space="preserve"> </w:t>
      </w:r>
      <w:r>
        <w:t xml:space="preserve">and</w:t>
      </w:r>
      <w:r>
        <w:t xml:space="preserve"> </w:t>
      </w:r>
      <w:r>
        <w:t xml:space="preserve">CAPEX</w:t>
      </w:r>
      <w:r>
        <w:t xml:space="preserve"> </w:t>
      </w:r>
      <w:r>
        <w:t xml:space="preserve">Program</w:t>
      </w:r>
    </w:p>
    <w:p>
      <w:pPr>
        <w:pStyle w:val="Author"/>
      </w:pPr>
      <w:r>
        <w:t xml:space="preserve">Nam</w:t>
      </w:r>
      <w:r>
        <w:t xml:space="preserve"> </w:t>
      </w:r>
      <w:r>
        <w:t xml:space="preserve">Le,</w:t>
      </w:r>
      <w:r>
        <w:t xml:space="preserve"> </w:t>
      </w:r>
      <w:r>
        <w:t xml:space="preserve">Mark</w:t>
      </w:r>
      <w:r>
        <w:t xml:space="preserve"> </w:t>
      </w:r>
      <w:r>
        <w:t xml:space="preserve">Ogot,</w:t>
      </w:r>
      <w:r>
        <w:t xml:space="preserve"> </w:t>
      </w:r>
      <w:r>
        <w:t xml:space="preserve">Paul</w:t>
      </w:r>
      <w:r>
        <w:t xml:space="preserve"> </w:t>
      </w:r>
      <w:r>
        <w:t xml:space="preserve">Magbanua,</w:t>
      </w:r>
      <w:r>
        <w:t xml:space="preserve"> </w:t>
      </w:r>
      <w:r>
        <w:t xml:space="preserve">Liezel</w:t>
      </w:r>
      <w:r>
        <w:t xml:space="preserve"> </w:t>
      </w:r>
      <w:r>
        <w:t xml:space="preserve">Convento</w:t>
      </w:r>
    </w:p>
    <w:p>
      <w:pPr>
        <w:pStyle w:val="Date"/>
      </w:pPr>
      <w:r>
        <w:t xml:space="preserve">4/08/2020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tbl>
      <w:tblPr>
        <w:tblStyle w:val="Table"/>
        <w:tblW w:type="pct" w:w="3125"/>
        <w:tblLook w:firstRow="1" w:lastRow="0" w:firstColumn="0" w:lastColumn="0" w:noHBand="0" w:noVBand="0" w:val="0020"/>
      </w:tblPr>
      <w:tblGrid>
        <w:gridCol w:w="1650"/>
        <w:gridCol w:w="3300"/>
      </w:tblGrid>
      <w:tr>
        <w:trPr>
          <w:tblHeader w:val="true"/>
        </w:trPr>
        <w:tc>
          <w:tcPr/>
          <w:p>
            <w:pPr>
              <w:pStyle w:val="Compact"/>
              <w:jc w:val="left"/>
            </w:pPr>
            <w:r>
              <w:t xml:space="preserve">Abbreviation</w:t>
            </w:r>
          </w:p>
        </w:tc>
        <w:tc>
          <w:tcPr/>
          <w:p>
            <w:pPr>
              <w:pStyle w:val="Compact"/>
              <w:jc w:val="left"/>
            </w:pPr>
            <w:r>
              <w:t xml:space="preserve">Names</w:t>
            </w:r>
          </w:p>
        </w:tc>
      </w:tr>
      <w:tr>
        <w:tc>
          <w:tcPr/>
          <w:p>
            <w:pPr>
              <w:pStyle w:val="Compact"/>
              <w:jc w:val="left"/>
            </w:pPr>
            <w:r>
              <w:t xml:space="preserve">JV</w:t>
            </w:r>
          </w:p>
        </w:tc>
        <w:tc>
          <w:tcPr/>
          <w:p>
            <w:pPr>
              <w:pStyle w:val="Compact"/>
              <w:jc w:val="left"/>
            </w:pPr>
            <w:r>
              <w:t xml:space="preserve">Joint Venture</w:t>
            </w:r>
          </w:p>
        </w:tc>
      </w:tr>
      <w:tr>
        <w:tc>
          <w:tcPr/>
          <w:p>
            <w:pPr>
              <w:pStyle w:val="Compact"/>
              <w:jc w:val="left"/>
            </w:pPr>
            <w:r>
              <w:t xml:space="preserve">LOS</w:t>
            </w:r>
          </w:p>
        </w:tc>
        <w:tc>
          <w:tcPr/>
          <w:p>
            <w:pPr>
              <w:pStyle w:val="Compact"/>
              <w:jc w:val="left"/>
            </w:pPr>
            <w:r>
              <w:t xml:space="preserve">Level of Services</w:t>
            </w:r>
          </w:p>
        </w:tc>
      </w:tr>
      <w:tr>
        <w:tc>
          <w:tcPr/>
          <w:p>
            <w:pPr>
              <w:pStyle w:val="Compact"/>
              <w:jc w:val="left"/>
            </w:pPr>
            <w:r>
              <w:t xml:space="preserve">MS</w:t>
            </w:r>
          </w:p>
        </w:tc>
        <w:tc>
          <w:tcPr/>
          <w:p>
            <w:pPr>
              <w:pStyle w:val="Compact"/>
              <w:jc w:val="left"/>
            </w:pPr>
            <w:r>
              <w:t xml:space="preserve">Microsoft</w:t>
            </w:r>
          </w:p>
        </w:tc>
      </w:tr>
      <w:tr>
        <w:tc>
          <w:tcPr/>
          <w:p>
            <w:pPr>
              <w:pStyle w:val="Compact"/>
              <w:jc w:val="left"/>
            </w:pPr>
            <w:r>
              <w:t xml:space="preserve">NSCP</w:t>
            </w:r>
          </w:p>
        </w:tc>
        <w:tc>
          <w:tcPr/>
          <w:p>
            <w:pPr>
              <w:pStyle w:val="Compact"/>
              <w:jc w:val="left"/>
            </w:pPr>
            <w:r>
              <w:t xml:space="preserve">National Structural Code of</w:t>
            </w:r>
            <w:r>
              <w:t xml:space="preserve"> </w:t>
            </w:r>
            <w:r>
              <w:t xml:space="preserve">the Philippines</w:t>
            </w:r>
          </w:p>
        </w:tc>
      </w:tr>
      <w:tr>
        <w:tc>
          <w:tcPr/>
          <w:p>
            <w:pPr>
              <w:pStyle w:val="Compact"/>
              <w:jc w:val="left"/>
            </w:pPr>
            <w:r>
              <w:t xml:space="preserve">NY</w:t>
            </w:r>
          </w:p>
        </w:tc>
        <w:tc>
          <w:tcPr/>
          <w:p>
            <w:pPr>
              <w:pStyle w:val="Compact"/>
              <w:jc w:val="left"/>
            </w:pPr>
            <w:r>
              <w:t xml:space="preserve">Northyard</w:t>
            </w:r>
          </w:p>
        </w:tc>
      </w:tr>
      <w:tr>
        <w:tc>
          <w:tcPr/>
          <w:p>
            <w:pPr>
              <w:pStyle w:val="Compact"/>
              <w:jc w:val="left"/>
            </w:pPr>
            <w:r>
              <w:t xml:space="preserve">NY+SY</w:t>
            </w:r>
          </w:p>
        </w:tc>
        <w:tc>
          <w:tcPr/>
          <w:p>
            <w:pPr>
              <w:pStyle w:val="Compact"/>
              <w:jc w:val="left"/>
            </w:pPr>
            <w:r>
              <w:t xml:space="preserve">Northyard and Southyard</w:t>
            </w:r>
          </w:p>
        </w:tc>
      </w:tr>
      <w:tr>
        <w:tc>
          <w:tcPr/>
          <w:p>
            <w:pPr>
              <w:pStyle w:val="Compact"/>
              <w:jc w:val="left"/>
            </w:pPr>
            <w:r>
              <w:t xml:space="preserve">O&amp;M</w:t>
            </w:r>
          </w:p>
        </w:tc>
        <w:tc>
          <w:tcPr/>
          <w:p>
            <w:pPr>
              <w:pStyle w:val="Compact"/>
              <w:jc w:val="left"/>
            </w:pPr>
            <w:r>
              <w:t xml:space="preserve">Operation &amp; Maintenance</w:t>
            </w:r>
          </w:p>
        </w:tc>
      </w:tr>
      <w:tr>
        <w:tc>
          <w:tcPr/>
          <w:p>
            <w:pPr>
              <w:pStyle w:val="Compact"/>
              <w:jc w:val="left"/>
            </w:pPr>
            <w:r>
              <w:t xml:space="preserve">SY</w:t>
            </w:r>
          </w:p>
        </w:tc>
        <w:tc>
          <w:tcPr/>
          <w:p>
            <w:pPr>
              <w:pStyle w:val="Compact"/>
              <w:jc w:val="left"/>
            </w:pPr>
            <w:r>
              <w:t xml:space="preserve">Southyard</w:t>
            </w:r>
          </w:p>
        </w:tc>
      </w:tr>
      <w:tr>
        <w:tc>
          <w:tcPr/>
          <w:p>
            <w:pPr>
              <w:pStyle w:val="Compact"/>
              <w:jc w:val="left"/>
            </w:pPr>
            <w:r>
              <w:t xml:space="preserve">TDD</w:t>
            </w:r>
          </w:p>
        </w:tc>
        <w:tc>
          <w:tcPr/>
          <w:p>
            <w:pPr>
              <w:pStyle w:val="Compact"/>
              <w:jc w:val="left"/>
            </w:pPr>
            <w:r>
              <w:t xml:space="preserve">Technical Due Diligence</w:t>
            </w:r>
          </w:p>
        </w:tc>
      </w:tr>
      <w:tr>
        <w:tc>
          <w:tcPr/>
          <w:p>
            <w:pPr>
              <w:pStyle w:val="Compact"/>
              <w:jc w:val="left"/>
            </w:pPr>
            <w:r>
              <w:t xml:space="preserve">USD or $</w:t>
            </w:r>
          </w:p>
        </w:tc>
        <w:tc>
          <w:tcPr/>
          <w:p>
            <w:pPr>
              <w:pStyle w:val="Compact"/>
              <w:jc w:val="left"/>
            </w:pPr>
            <w:r>
              <w:t xml:space="preserve">United States Dollar</w:t>
            </w:r>
          </w:p>
        </w:tc>
      </w:tr>
    </w:tbl>
    <w:bookmarkStart w:id="24" w:name="introduction"/>
    <w:p>
      <w:pPr>
        <w:pStyle w:val="Heading1"/>
      </w:pPr>
      <w:r>
        <w:t xml:space="preserve">Introduction</w:t>
      </w:r>
    </w:p>
    <w:bookmarkStart w:id="21" w:name="the-project"/>
    <w:p>
      <w:pPr>
        <w:pStyle w:val="Heading2"/>
      </w:pPr>
      <w:r>
        <w:t xml:space="preserve">The project</w:t>
      </w:r>
    </w:p>
    <w:p>
      <w:pPr>
        <w:pStyle w:val="FirstParagraph"/>
      </w:pPr>
      <w:r>
        <w:t xml:space="preserve">Hanjin Heavy Industries and Construction Philippines, also known as HHIC Phil, is strategically located at the tip of Redondo peninsula, Sitio Agusuhin, Subic, Zambales. It was established in February 2006 by Hanjin Heavy Industries and Construction of South Korea with an approximate area of 250 hectares. It is considered as one of the largest shipyard in the world.</w:t>
      </w:r>
    </w:p>
    <w:p>
      <w:pPr>
        <w:pStyle w:val="CaptionedFigure"/>
      </w:pPr>
      <w:r>
        <w:drawing>
          <wp:inline>
            <wp:extent cx="2938272" cy="1956816"/>
            <wp:effectExtent b="0" l="0" r="0" t="0"/>
            <wp:docPr descr="Figure 1: Hanjin Shipyard" title="" id="1" name="Picture"/>
            <a:graphic>
              <a:graphicData uri="http://schemas.openxmlformats.org/drawingml/2006/picture">
                <pic:pic>
                  <pic:nvPicPr>
                    <pic:cNvPr descr="../visuals/hanjinshipyard.jpg" id="0" name="Picture"/>
                    <pic:cNvPicPr>
                      <a:picLocks noChangeArrowheads="1" noChangeAspect="1"/>
                    </pic:cNvPicPr>
                  </pic:nvPicPr>
                  <pic:blipFill>
                    <a:blip r:embed="rId20"/>
                    <a:stretch>
                      <a:fillRect/>
                    </a:stretch>
                  </pic:blipFill>
                  <pic:spPr bwMode="auto">
                    <a:xfrm>
                      <a:off x="0" y="0"/>
                      <a:ext cx="2938272" cy="1956816"/>
                    </a:xfrm>
                    <a:prstGeom prst="rect">
                      <a:avLst/>
                    </a:prstGeom>
                    <a:noFill/>
                    <a:ln w="9525">
                      <a:noFill/>
                      <a:headEnd/>
                      <a:tailEnd/>
                    </a:ln>
                  </pic:spPr>
                </pic:pic>
              </a:graphicData>
            </a:graphic>
          </wp:inline>
        </w:drawing>
      </w:r>
    </w:p>
    <w:p>
      <w:pPr>
        <w:pStyle w:val="ImageCaption"/>
      </w:pPr>
      <w:r>
        <w:t xml:space="preserve">Figure 1: Hanjin Shipyard</w:t>
      </w:r>
    </w:p>
    <w:p>
      <w:pPr>
        <w:pStyle w:val="BodyText"/>
      </w:pPr>
      <w:r>
        <w:t xml:space="preserve">Following the completion of Phase 1 of the Technical and Environmental Due Diligence by the end of 2019, Arcadis has been commissioned by Cerberus Capital Management in January 2020 to continue the Phase 2 of the Technical Due Diligence on the Shipyard. Site visits were conducted on 18th -21st of February and 4th-6th of March.</w:t>
      </w:r>
    </w:p>
    <w:p>
      <w:pPr>
        <w:pStyle w:val="BodyText"/>
      </w:pPr>
      <w:r>
        <w:t xml:space="preserve">This report has been prepared exclusively for generation of CAPEX items, intervention strategies, and intervention program based on evaluation and validation on existing condition states, risks, compliance to current applied standards and codes, and specific requirements from Clients based on numerous discussions.</w:t>
      </w:r>
    </w:p>
    <w:p>
      <w:pPr>
        <w:pStyle w:val="BodyText"/>
      </w:pPr>
      <w:r>
        <w:t xml:space="preserve">This report has also been prepared using the existing information such as documents and drawings provided by HHIC. Although Arcadis could not capture all the required information, follow-through site validation was conducted with interviews of Hanjin personnel and walkthrough along the utility corridor line and facilities.</w:t>
      </w:r>
    </w:p>
    <w:p>
      <w:pPr>
        <w:pStyle w:val="BodyText"/>
      </w:pPr>
      <w:r>
        <w:t xml:space="preserve">This report addresses concerning issues of the existing facilities and possible concerns in setting up shared services among tenants. This report also discusses recommendations of potential options to deal with each identified existing and potential issues.</w:t>
      </w:r>
    </w:p>
    <w:bookmarkEnd w:id="21"/>
    <w:bookmarkStart w:id="22" w:name="objectives-and-scopes"/>
    <w:p>
      <w:pPr>
        <w:pStyle w:val="Heading2"/>
      </w:pPr>
      <w:r>
        <w:t xml:space="preserve">Objectives and Scopes</w:t>
      </w:r>
    </w:p>
    <w:p>
      <w:pPr>
        <w:pStyle w:val="FirstParagraph"/>
      </w:pPr>
      <w:r>
        <w:t xml:space="preserve">The objectives of this work are to determinate optimal CAPEX program for 25 years, formulate a master schedule to show the feasibility and strategy on how to execute the CAPEX items under 2 years and to recommend Clients on Engineering and Procurement Strategies based on rigorous site visual inspection, interview, review of documents and drawings, as well as suitable engineering approach and benchmarking of cost.</w:t>
      </w:r>
    </w:p>
    <w:p>
      <w:pPr>
        <w:pStyle w:val="BodyText"/>
      </w:pPr>
      <w:r>
        <w:t xml:space="preserve">The project’ scope includes desktop study, site evaluation and confirmatory measurements of naval buildings and infrastructure at the facility to assess the current state. This will provide a report that highlights estimated CAPEX expenditure needed over the next 12-24 months as well as any other considerations relevant to the development owner. This will include regulatory risk or any limitations or restrictions in future use. The assessment will also review and provide an independent view on proposed CAPEX plans from operators for the buildings.</w:t>
      </w:r>
    </w:p>
    <w:p>
      <w:pPr>
        <w:pStyle w:val="BodyText"/>
      </w:pPr>
      <w:r>
        <w:t xml:space="preserve">Interested readers are suggested to refer to the submitted proposal of Arcadis for the detailed scope of works.</w:t>
      </w:r>
    </w:p>
    <w:bookmarkEnd w:id="22"/>
    <w:bookmarkStart w:id="23" w:name="assumptions-and-clarification"/>
    <w:p>
      <w:pPr>
        <w:pStyle w:val="Heading2"/>
      </w:pPr>
      <w:r>
        <w:t xml:space="preserve">Assumptions and Clarification</w:t>
      </w:r>
    </w:p>
    <w:p>
      <w:pPr>
        <w:pStyle w:val="FirstParagraph"/>
      </w:pPr>
      <w:r>
        <w:t xml:space="preserve">Findings and outcome presented in the report are subjected to have a certain level of uncertainty due to the followings:</w:t>
      </w:r>
    </w:p>
    <w:p>
      <w:pPr>
        <w:numPr>
          <w:ilvl w:val="0"/>
          <w:numId w:val="1001"/>
        </w:numPr>
        <w:pStyle w:val="Compact"/>
      </w:pPr>
      <w:r>
        <w:t xml:space="preserve">Visual inspection was conducted by eye-witness and not by precision monitoring devices, thus a precise conclusion on condition states of assets is not possible;</w:t>
      </w:r>
    </w:p>
    <w:p>
      <w:pPr>
        <w:numPr>
          <w:ilvl w:val="0"/>
          <w:numId w:val="1001"/>
        </w:numPr>
        <w:pStyle w:val="Compact"/>
      </w:pPr>
      <w:r>
        <w:t xml:space="preserve">No physical testing has been conducted to identify the soundness and operational state of assets;</w:t>
      </w:r>
    </w:p>
    <w:p>
      <w:pPr>
        <w:numPr>
          <w:ilvl w:val="0"/>
          <w:numId w:val="1001"/>
        </w:numPr>
        <w:pStyle w:val="Compact"/>
      </w:pPr>
      <w:r>
        <w:t xml:space="preserve">Quantity surveying method used has been fundamentally based on generic area of facilities and not on individual components unless otherwise applicable in some certain cases;</w:t>
      </w:r>
    </w:p>
    <w:p>
      <w:pPr>
        <w:numPr>
          <w:ilvl w:val="0"/>
          <w:numId w:val="1001"/>
        </w:numPr>
        <w:pStyle w:val="Compact"/>
      </w:pPr>
      <w:r>
        <w:t xml:space="preserve">The benchmark cost has been extracted from Arcadis’s cost database of similar projects and activities. This is a high level cost (ballpark estimate), thus subject to a certain level of deviation which should be further verified in Engineering and Procurement phase of the project. However, the ballpark is good enough for high level budgeting and programing.</w:t>
      </w:r>
    </w:p>
    <w:bookmarkEnd w:id="23"/>
    <w:bookmarkEnd w:id="24"/>
    <w:bookmarkStart w:id="33" w:name="methodology"/>
    <w:p>
      <w:pPr>
        <w:pStyle w:val="Heading1"/>
      </w:pPr>
      <w:r>
        <w:t xml:space="preserve">Methodology</w:t>
      </w:r>
    </w:p>
    <w:bookmarkStart w:id="25" w:name="general"/>
    <w:p>
      <w:pPr>
        <w:pStyle w:val="Heading2"/>
      </w:pPr>
      <w:r>
        <w:t xml:space="preserve">General</w:t>
      </w:r>
    </w:p>
    <w:p>
      <w:pPr>
        <w:pStyle w:val="FirstParagraph"/>
      </w:pPr>
      <w:r>
        <w:t xml:space="preserve">Following bullet points give a brief on the methodology</w:t>
      </w:r>
    </w:p>
    <w:p>
      <w:pPr>
        <w:numPr>
          <w:ilvl w:val="0"/>
          <w:numId w:val="1002"/>
        </w:numPr>
        <w:pStyle w:val="Compact"/>
      </w:pPr>
      <w:r>
        <w:t xml:space="preserve">Site visit and visual inspection;</w:t>
      </w:r>
    </w:p>
    <w:p>
      <w:pPr>
        <w:numPr>
          <w:ilvl w:val="0"/>
          <w:numId w:val="1002"/>
        </w:numPr>
        <w:pStyle w:val="Compact"/>
      </w:pPr>
      <w:r>
        <w:t xml:space="preserve">Interview and discussion with managers and staff of the Shipyard;</w:t>
      </w:r>
    </w:p>
    <w:p>
      <w:pPr>
        <w:numPr>
          <w:ilvl w:val="0"/>
          <w:numId w:val="1002"/>
        </w:numPr>
        <w:pStyle w:val="Compact"/>
      </w:pPr>
      <w:r>
        <w:t xml:space="preserve">Discussion with Cerberus team weekly;</w:t>
      </w:r>
    </w:p>
    <w:p>
      <w:pPr>
        <w:numPr>
          <w:ilvl w:val="0"/>
          <w:numId w:val="1002"/>
        </w:numPr>
        <w:pStyle w:val="Compact"/>
      </w:pPr>
      <w:r>
        <w:t xml:space="preserve">Conceptual layout preparation;</w:t>
      </w:r>
    </w:p>
    <w:p>
      <w:pPr>
        <w:numPr>
          <w:ilvl w:val="0"/>
          <w:numId w:val="1002"/>
        </w:numPr>
        <w:pStyle w:val="Compact"/>
      </w:pPr>
      <w:r>
        <w:t xml:space="preserve">Quantity Surveying and cost benchmarking;</w:t>
      </w:r>
    </w:p>
    <w:p>
      <w:pPr>
        <w:numPr>
          <w:ilvl w:val="0"/>
          <w:numId w:val="1002"/>
        </w:numPr>
        <w:pStyle w:val="Compact"/>
      </w:pPr>
      <w:r>
        <w:t xml:space="preserve">Data programing</w:t>
      </w:r>
    </w:p>
    <w:bookmarkEnd w:id="25"/>
    <w:bookmarkStart w:id="26" w:name="hierarchy"/>
    <w:p>
      <w:pPr>
        <w:pStyle w:val="Heading2"/>
      </w:pPr>
      <w:r>
        <w:t xml:space="preserve">Hierarchy</w:t>
      </w:r>
    </w:p>
    <w:p>
      <w:pPr>
        <w:pStyle w:val="FirstParagraph"/>
      </w:pPr>
      <w:r>
        <w:t xml:space="preserve">The CAPEX items are classified into levels of hierarchy, referred herein as the Hierarchy (Table</w:t>
      </w:r>
      <w:r>
        <w:t xml:space="preserve"> </w:t>
      </w:r>
      <w:r>
        <w:t xml:space="preserve">1</w:t>
      </w:r>
      <w:r>
        <w:t xml:space="preserve">)</w:t>
      </w:r>
    </w:p>
    <w:p>
      <w:pPr>
        <w:pStyle w:val="TableCaption"/>
      </w:pPr>
      <w:r>
        <w:t xml:space="preserve">Table 1: The Hierarchy</w:t>
      </w:r>
    </w:p>
    <w:tbl>
      <w:tblPr>
        <w:tblStyle w:val="Table"/>
        <w:tblW w:type="auto" w:w="0"/>
        <w:tblLook w:firstRow="1" w:lastRow="0" w:firstColumn="0" w:lastColumn="0" w:noHBand="0" w:noVBand="0" w:val="0020"/>
        <w:tblCaption w:val="Table 1: The Hierarchy"/>
      </w:tblPr>
      <w:tblGrid>
        <w:gridCol w:w="880"/>
        <w:gridCol w:w="880"/>
        <w:gridCol w:w="880"/>
        <w:gridCol w:w="880"/>
        <w:gridCol w:w="880"/>
        <w:gridCol w:w="880"/>
        <w:gridCol w:w="880"/>
        <w:gridCol w:w="880"/>
        <w:gridCol w:w="880"/>
      </w:tblGrid>
      <w:tr>
        <w:trPr>
          <w:tblHeader w:val="true"/>
        </w:trPr>
        <w:tc>
          <w:tcPr/>
          <w:p>
            <w:pPr>
              <w:pStyle w:val="Compact"/>
              <w:jc w:val="left"/>
            </w:pPr>
            <w:r>
              <w:t xml:space="preserve">Area</w:t>
            </w:r>
          </w:p>
        </w:tc>
        <w:tc>
          <w:tcPr/>
          <w:p>
            <w:pPr>
              <w:pStyle w:val="Compact"/>
              <w:jc w:val="left"/>
            </w:pPr>
            <w:r>
              <w:t xml:space="preserve">Floor Level</w:t>
            </w:r>
          </w:p>
        </w:tc>
        <w:tc>
          <w:tcPr/>
          <w:p>
            <w:pPr>
              <w:pStyle w:val="Compact"/>
              <w:jc w:val="left"/>
            </w:pPr>
            <w:r>
              <w:t xml:space="preserve">Tenant</w:t>
            </w:r>
          </w:p>
        </w:tc>
        <w:tc>
          <w:tcPr/>
          <w:p>
            <w:pPr>
              <w:pStyle w:val="Compact"/>
              <w:jc w:val="left"/>
            </w:pPr>
            <w:r>
              <w:t xml:space="preserve">Zone</w:t>
            </w:r>
          </w:p>
        </w:tc>
        <w:tc>
          <w:tcPr/>
          <w:p>
            <w:pPr>
              <w:pStyle w:val="Compact"/>
              <w:jc w:val="left"/>
            </w:pPr>
            <w:r>
              <w:t xml:space="preserve">User</w:t>
            </w:r>
          </w:p>
        </w:tc>
        <w:tc>
          <w:tcPr/>
          <w:p>
            <w:pPr>
              <w:pStyle w:val="Compact"/>
              <w:jc w:val="left"/>
            </w:pPr>
            <w:r>
              <w:t xml:space="preserve">Owner</w:t>
            </w:r>
          </w:p>
        </w:tc>
        <w:tc>
          <w:tcPr/>
          <w:p>
            <w:pPr>
              <w:pStyle w:val="Compact"/>
              <w:jc w:val="left"/>
            </w:pPr>
            <w:r>
              <w:t xml:space="preserve">Operator</w:t>
            </w:r>
          </w:p>
        </w:tc>
        <w:tc>
          <w:tcPr/>
          <w:p>
            <w:pPr>
              <w:pStyle w:val="Compact"/>
              <w:jc w:val="left"/>
            </w:pPr>
            <w:r>
              <w:t xml:space="preserve">Work Type</w:t>
            </w:r>
          </w:p>
        </w:tc>
        <w:tc>
          <w:tcPr/>
          <w:p>
            <w:pPr>
              <w:pStyle w:val="Compact"/>
              <w:jc w:val="left"/>
            </w:pPr>
            <w:r>
              <w:t xml:space="preserve">Disciplines</w:t>
            </w:r>
          </w:p>
        </w:tc>
      </w:tr>
      <w:tr>
        <w:tc>
          <w:tcPr/>
          <w:p>
            <w:pPr>
              <w:pStyle w:val="Compact"/>
              <w:jc w:val="left"/>
            </w:pPr>
            <w:r>
              <w:t xml:space="preserve">NY</w:t>
            </w:r>
          </w:p>
        </w:tc>
        <w:tc>
          <w:tcPr/>
          <w:p>
            <w:pPr>
              <w:pStyle w:val="Compact"/>
              <w:jc w:val="left"/>
            </w:pPr>
            <w:r>
              <w:t xml:space="preserve">Roof</w:t>
            </w:r>
          </w:p>
        </w:tc>
        <w:tc>
          <w:tcPr/>
          <w:p>
            <w:pPr>
              <w:pStyle w:val="Compact"/>
              <w:jc w:val="left"/>
            </w:pPr>
            <w:r>
              <w:t xml:space="preserve">Austal</w:t>
            </w:r>
          </w:p>
        </w:tc>
        <w:tc>
          <w:tcPr/>
          <w:p>
            <w:pPr>
              <w:pStyle w:val="Compact"/>
              <w:jc w:val="left"/>
            </w:pPr>
            <w:r>
              <w:t xml:space="preserve">Dock 5</w:t>
            </w:r>
          </w:p>
        </w:tc>
        <w:tc>
          <w:tcPr/>
          <w:p>
            <w:pPr>
              <w:pStyle w:val="Compact"/>
              <w:jc w:val="left"/>
            </w:pPr>
            <w:r>
              <w:t xml:space="preserve">Navy</w:t>
            </w:r>
          </w:p>
        </w:tc>
        <w:tc>
          <w:tcPr/>
          <w:p>
            <w:pPr>
              <w:pStyle w:val="Compact"/>
              <w:jc w:val="left"/>
            </w:pPr>
            <w:r>
              <w:t xml:space="preserve">JV</w:t>
            </w:r>
          </w:p>
        </w:tc>
        <w:tc>
          <w:tcPr/>
          <w:p>
            <w:pPr>
              <w:pStyle w:val="Compact"/>
              <w:jc w:val="left"/>
            </w:pPr>
            <w:r>
              <w:t xml:space="preserve">DynCorp-NY</w:t>
            </w:r>
          </w:p>
        </w:tc>
        <w:tc>
          <w:tcPr/>
          <w:p>
            <w:pPr>
              <w:pStyle w:val="Compact"/>
              <w:jc w:val="left"/>
            </w:pPr>
            <w:r>
              <w:t xml:space="preserve">All</w:t>
            </w:r>
          </w:p>
        </w:tc>
        <w:tc>
          <w:tcPr/>
          <w:p>
            <w:pPr>
              <w:pStyle w:val="Compact"/>
              <w:jc w:val="left"/>
            </w:pPr>
            <w:r>
              <w:t xml:space="preserve">Architectural</w:t>
            </w:r>
          </w:p>
        </w:tc>
      </w:tr>
      <w:tr>
        <w:tc>
          <w:tcPr/>
          <w:p>
            <w:pPr>
              <w:pStyle w:val="Compact"/>
              <w:jc w:val="left"/>
            </w:pPr>
            <w:r>
              <w:t xml:space="preserve">SY</w:t>
            </w:r>
          </w:p>
        </w:tc>
        <w:tc>
          <w:tcPr/>
          <w:p>
            <w:pPr>
              <w:pStyle w:val="Compact"/>
              <w:jc w:val="left"/>
            </w:pPr>
            <w:r>
              <w:t xml:space="preserve">5</w:t>
            </w:r>
          </w:p>
        </w:tc>
        <w:tc>
          <w:tcPr/>
          <w:p>
            <w:pPr>
              <w:pStyle w:val="Compact"/>
              <w:jc w:val="left"/>
            </w:pPr>
            <w:r>
              <w:t xml:space="preserve">Navy</w:t>
            </w:r>
          </w:p>
        </w:tc>
        <w:tc>
          <w:tcPr/>
          <w:p>
            <w:pPr>
              <w:pStyle w:val="Compact"/>
              <w:jc w:val="left"/>
            </w:pPr>
            <w:r>
              <w:t xml:space="preserve">Dock 6</w:t>
            </w:r>
          </w:p>
        </w:tc>
        <w:tc>
          <w:tcPr/>
          <w:p>
            <w:pPr>
              <w:pStyle w:val="Compact"/>
              <w:jc w:val="left"/>
            </w:pPr>
            <w:r>
              <w:t xml:space="preserve">Dock 6</w:t>
            </w:r>
          </w:p>
        </w:tc>
        <w:tc>
          <w:tcPr/>
          <w:p>
            <w:pPr>
              <w:pStyle w:val="Compact"/>
            </w:pPr>
          </w:p>
        </w:tc>
        <w:tc>
          <w:tcPr/>
          <w:p>
            <w:pPr>
              <w:pStyle w:val="Compact"/>
              <w:jc w:val="left"/>
            </w:pPr>
            <w:r>
              <w:t xml:space="preserve">DynCorp-SY</w:t>
            </w:r>
          </w:p>
        </w:tc>
        <w:tc>
          <w:tcPr/>
          <w:p>
            <w:pPr>
              <w:pStyle w:val="Compact"/>
              <w:jc w:val="left"/>
            </w:pPr>
            <w:r>
              <w:t xml:space="preserve">Building Fabric</w:t>
            </w:r>
          </w:p>
        </w:tc>
        <w:tc>
          <w:tcPr/>
          <w:p>
            <w:pPr>
              <w:pStyle w:val="Compact"/>
              <w:jc w:val="left"/>
            </w:pPr>
            <w:r>
              <w:t xml:space="preserve">All Disciplines</w:t>
            </w:r>
          </w:p>
        </w:tc>
      </w:tr>
      <w:tr>
        <w:tc>
          <w:tcPr/>
          <w:p>
            <w:pPr>
              <w:pStyle w:val="Compact"/>
              <w:jc w:val="left"/>
            </w:pPr>
            <w:r>
              <w:t xml:space="preserve">NY+SY</w:t>
            </w:r>
          </w:p>
        </w:tc>
        <w:tc>
          <w:tcPr/>
          <w:p>
            <w:pPr>
              <w:pStyle w:val="Compact"/>
              <w:jc w:val="left"/>
            </w:pPr>
            <w:r>
              <w:t xml:space="preserve">4</w:t>
            </w:r>
          </w:p>
        </w:tc>
        <w:tc>
          <w:tcPr/>
          <w:p>
            <w:pPr>
              <w:pStyle w:val="Compact"/>
              <w:jc w:val="left"/>
            </w:pPr>
            <w:r>
              <w:t xml:space="preserve">Tenant 3</w:t>
            </w:r>
          </w:p>
        </w:tc>
        <w:tc>
          <w:tcPr/>
          <w:p>
            <w:pPr>
              <w:pStyle w:val="Compact"/>
              <w:jc w:val="left"/>
            </w:pPr>
            <w:r>
              <w:t xml:space="preserve">Support</w:t>
            </w:r>
          </w:p>
        </w:tc>
        <w:tc>
          <w:tcPr/>
          <w:p>
            <w:pPr>
              <w:pStyle w:val="Compact"/>
              <w:jc w:val="left"/>
            </w:pPr>
            <w:r>
              <w:t xml:space="preserve">Austal</w:t>
            </w:r>
          </w:p>
        </w:tc>
        <w:tc>
          <w:tcPr/>
          <w:p>
            <w:pPr>
              <w:pStyle w:val="Compact"/>
            </w:pPr>
          </w:p>
        </w:tc>
        <w:tc>
          <w:tcPr/>
          <w:p>
            <w:pPr>
              <w:pStyle w:val="Compact"/>
              <w:jc w:val="left"/>
            </w:pPr>
            <w:r>
              <w:t xml:space="preserve">Navy</w:t>
            </w:r>
          </w:p>
        </w:tc>
        <w:tc>
          <w:tcPr/>
          <w:p>
            <w:pPr>
              <w:pStyle w:val="Compact"/>
              <w:jc w:val="left"/>
            </w:pPr>
            <w:r>
              <w:t xml:space="preserve">Contingencies</w:t>
            </w:r>
          </w:p>
        </w:tc>
        <w:tc>
          <w:tcPr/>
          <w:p>
            <w:pPr>
              <w:pStyle w:val="Compact"/>
              <w:jc w:val="left"/>
            </w:pPr>
            <w:r>
              <w:t xml:space="preserve">Building</w:t>
            </w:r>
          </w:p>
        </w:tc>
      </w:tr>
      <w:tr>
        <w:tc>
          <w:tcPr/>
          <w:p>
            <w:pPr>
              <w:pStyle w:val="Compact"/>
            </w:pPr>
          </w:p>
        </w:tc>
        <w:tc>
          <w:tcPr/>
          <w:p>
            <w:pPr>
              <w:pStyle w:val="Compact"/>
              <w:jc w:val="left"/>
            </w:pPr>
            <w:r>
              <w:t xml:space="preserve">3</w:t>
            </w:r>
          </w:p>
        </w:tc>
        <w:tc>
          <w:tcPr/>
          <w:p>
            <w:pPr>
              <w:pStyle w:val="Compact"/>
              <w:jc w:val="left"/>
            </w:pPr>
            <w:r>
              <w:t xml:space="preserve">Dock 6</w:t>
            </w:r>
          </w:p>
        </w:tc>
        <w:tc>
          <w:tcPr/>
          <w:p>
            <w:pPr>
              <w:pStyle w:val="Compact"/>
              <w:jc w:val="left"/>
            </w:pPr>
            <w:r>
              <w:t xml:space="preserve">Dry Dock</w:t>
            </w:r>
          </w:p>
        </w:tc>
        <w:tc>
          <w:tcPr/>
          <w:p>
            <w:pPr>
              <w:pStyle w:val="Compact"/>
              <w:jc w:val="left"/>
            </w:pPr>
            <w:r>
              <w:t xml:space="preserve">Tenant 3</w:t>
            </w:r>
          </w:p>
        </w:tc>
        <w:tc>
          <w:tcPr/>
          <w:p>
            <w:pPr>
              <w:pStyle w:val="Compact"/>
            </w:pPr>
          </w:p>
        </w:tc>
        <w:tc>
          <w:tcPr/>
          <w:p>
            <w:pPr>
              <w:pStyle w:val="Compact"/>
              <w:jc w:val="left"/>
            </w:pPr>
            <w:r>
              <w:t xml:space="preserve">Austal</w:t>
            </w:r>
          </w:p>
        </w:tc>
        <w:tc>
          <w:tcPr/>
          <w:p>
            <w:pPr>
              <w:pStyle w:val="Compact"/>
              <w:jc w:val="left"/>
            </w:pPr>
            <w:r>
              <w:t xml:space="preserve">Demolition</w:t>
            </w:r>
          </w:p>
        </w:tc>
        <w:tc>
          <w:tcPr/>
          <w:p>
            <w:pPr>
              <w:pStyle w:val="Compact"/>
              <w:jc w:val="left"/>
            </w:pPr>
            <w:r>
              <w:t xml:space="preserve">Civil</w:t>
            </w:r>
          </w:p>
        </w:tc>
      </w:tr>
      <w:tr>
        <w:tc>
          <w:tcPr/>
          <w:p>
            <w:pPr>
              <w:pStyle w:val="Compact"/>
            </w:pPr>
          </w:p>
        </w:tc>
        <w:tc>
          <w:tcPr/>
          <w:p>
            <w:pPr>
              <w:pStyle w:val="Compact"/>
              <w:jc w:val="left"/>
            </w:pPr>
            <w:r>
              <w:t xml:space="preserve">2</w:t>
            </w:r>
          </w:p>
        </w:tc>
        <w:tc>
          <w:tcPr/>
          <w:p>
            <w:pPr>
              <w:pStyle w:val="Compact"/>
              <w:jc w:val="left"/>
            </w:pPr>
            <w:r>
              <w:t xml:space="preserve">JV</w:t>
            </w:r>
          </w:p>
        </w:tc>
        <w:tc>
          <w:tcPr/>
          <w:p>
            <w:pPr>
              <w:pStyle w:val="Compact"/>
            </w:pPr>
          </w:p>
        </w:tc>
        <w:tc>
          <w:tcPr/>
          <w:p>
            <w:pPr>
              <w:pStyle w:val="Compact"/>
              <w:jc w:val="left"/>
            </w:pPr>
            <w:r>
              <w:t xml:space="preserve">Shared</w:t>
            </w:r>
          </w:p>
        </w:tc>
        <w:tc>
          <w:tcPr/>
          <w:p>
            <w:pPr>
              <w:pStyle w:val="Compact"/>
            </w:pPr>
          </w:p>
        </w:tc>
        <w:tc>
          <w:tcPr/>
          <w:p>
            <w:pPr>
              <w:pStyle w:val="Compact"/>
            </w:pPr>
          </w:p>
        </w:tc>
        <w:tc>
          <w:tcPr/>
          <w:p>
            <w:pPr>
              <w:pStyle w:val="Compact"/>
              <w:jc w:val="left"/>
            </w:pPr>
            <w:r>
              <w:t xml:space="preserve">Disposal</w:t>
            </w:r>
          </w:p>
        </w:tc>
        <w:tc>
          <w:tcPr/>
          <w:p>
            <w:pPr>
              <w:pStyle w:val="Compact"/>
              <w:jc w:val="left"/>
            </w:pPr>
            <w:r>
              <w:t xml:space="preserve">Contingencies</w:t>
            </w:r>
          </w:p>
        </w:tc>
      </w:tr>
      <w:tr>
        <w:tc>
          <w:tcPr/>
          <w:p>
            <w:pPr>
              <w:pStyle w:val="Compact"/>
            </w:pPr>
          </w:p>
        </w:tc>
        <w:tc>
          <w:tcPr/>
          <w:p>
            <w:pPr>
              <w:pStyle w:val="Compact"/>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Electrical System</w:t>
            </w:r>
          </w:p>
        </w:tc>
        <w:tc>
          <w:tcPr/>
          <w:p>
            <w:pPr>
              <w:pStyle w:val="Compact"/>
              <w:jc w:val="left"/>
            </w:pPr>
            <w:r>
              <w:t xml:space="preserve">Electrical</w:t>
            </w:r>
          </w:p>
        </w:tc>
      </w:tr>
      <w:tr>
        <w:tc>
          <w:tcPr/>
          <w:p>
            <w:pPr>
              <w:pStyle w:val="Compact"/>
            </w:pPr>
          </w:p>
        </w:tc>
        <w:tc>
          <w:tcPr/>
          <w:p>
            <w:pPr>
              <w:pStyle w:val="Compact"/>
              <w:jc w:val="left"/>
            </w:pPr>
            <w:r>
              <w:t xml:space="preserve">B1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Environmental</w:t>
            </w:r>
          </w:p>
        </w:tc>
        <w:tc>
          <w:tcPr/>
          <w:p>
            <w:pPr>
              <w:pStyle w:val="Compact"/>
              <w:jc w:val="left"/>
            </w:pPr>
            <w:r>
              <w:t xml:space="preserve">Engineering and Management</w:t>
            </w:r>
          </w:p>
        </w:tc>
      </w:tr>
      <w:tr>
        <w:tc>
          <w:tcPr/>
          <w:p>
            <w:pPr>
              <w:pStyle w:val="Compact"/>
            </w:pPr>
          </w:p>
        </w:tc>
        <w:tc>
          <w:tcPr/>
          <w:p>
            <w:pPr>
              <w:pStyle w:val="Compact"/>
              <w:jc w:val="left"/>
            </w:pPr>
            <w:r>
              <w:t xml:space="preserve">Lot</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Fire Protection System</w:t>
            </w:r>
          </w:p>
        </w:tc>
        <w:tc>
          <w:tcPr/>
          <w:p>
            <w:pPr>
              <w:pStyle w:val="Compact"/>
              <w:jc w:val="left"/>
            </w:pPr>
            <w:r>
              <w:t xml:space="preserve">Environmental</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HVAC</w:t>
            </w:r>
          </w:p>
        </w:tc>
        <w:tc>
          <w:tcPr/>
          <w:p>
            <w:pPr>
              <w:pStyle w:val="Compact"/>
              <w:jc w:val="left"/>
            </w:pPr>
            <w:r>
              <w:t xml:space="preserve">Fire Protection</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Interior</w:t>
            </w:r>
          </w:p>
        </w:tc>
        <w:tc>
          <w:tcPr/>
          <w:p>
            <w:pPr>
              <w:pStyle w:val="Compact"/>
              <w:jc w:val="left"/>
            </w:pPr>
            <w:r>
              <w:t xml:space="preserve">Hydraulic</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Mechanical System</w:t>
            </w:r>
          </w:p>
        </w:tc>
        <w:tc>
          <w:tcPr/>
          <w:p>
            <w:pPr>
              <w:pStyle w:val="Compact"/>
              <w:jc w:val="left"/>
            </w:pPr>
            <w:r>
              <w:t xml:space="preserve">Mechanical</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Miscellaneous</w:t>
            </w:r>
          </w:p>
        </w:tc>
        <w:tc>
          <w:tcPr/>
          <w:p>
            <w:pPr>
              <w:pStyle w:val="Compact"/>
              <w:jc w:val="left"/>
            </w:pPr>
            <w:r>
              <w:t xml:space="preserve">Miscellaneous</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Engineering and Management</w:t>
            </w:r>
          </w:p>
        </w:tc>
        <w:tc>
          <w:tcPr/>
          <w:p>
            <w:pPr>
              <w:pStyle w:val="Compact"/>
              <w:jc w:val="left"/>
            </w:pPr>
            <w:r>
              <w:t xml:space="preserve">Plumbing</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Perimeter Fence</w:t>
            </w:r>
          </w:p>
        </w:tc>
        <w:tc>
          <w:tcPr/>
          <w:p>
            <w:pPr>
              <w:pStyle w:val="Compact"/>
              <w:jc w:val="left"/>
            </w:pPr>
            <w:r>
              <w:t xml:space="preserve">Soft Cost</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Plumbing System</w:t>
            </w:r>
          </w:p>
        </w:tc>
        <w:tc>
          <w:tcPr/>
          <w:p>
            <w:pPr>
              <w:pStyle w:val="Compact"/>
              <w:jc w:val="left"/>
            </w:pPr>
            <w:r>
              <w:t xml:space="preserve">Roof</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Preliminaries</w:t>
            </w:r>
          </w:p>
        </w:tc>
        <w:tc>
          <w:tcPr/>
          <w:p>
            <w:pPr>
              <w:pStyle w:val="Compact"/>
              <w:jc w:val="left"/>
            </w:pPr>
            <w:r>
              <w:t xml:space="preserve">Structural</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Roof</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Structural Elements</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Structural Upgrade</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Vertical Transportation</w:t>
            </w:r>
          </w:p>
        </w:tc>
        <w:tc>
          <w:tcPr/>
          <w:p>
            <w:pPr>
              <w:pStyle w:val="Compact"/>
            </w:pPr>
          </w:p>
        </w:tc>
      </w:tr>
    </w:tbl>
    <w:p>
      <w:pPr>
        <w:pStyle w:val="BodyText"/>
      </w:pPr>
      <w:r>
        <w:t xml:space="preserve">The CAPEX items (e.g. a GENSET or a structural beam) should belong to these levels of hierarchy. By using this hierarchy, it is possible to analyze and summaries the Condition/Operational States, Risks, and Cost in an appropriate manner.</w:t>
      </w:r>
    </w:p>
    <w:p>
      <w:pPr>
        <w:pStyle w:val="BodyText"/>
      </w:pPr>
      <w:r>
        <w:t xml:space="preserve">Inspection forms are then formulated in tabular formats that consider these levels of hierarchy and the states that are defined in subsequent sections.</w:t>
      </w:r>
    </w:p>
    <w:bookmarkEnd w:id="26"/>
    <w:bookmarkStart w:id="31" w:name="tidy-data-and-definitions"/>
    <w:p>
      <w:pPr>
        <w:pStyle w:val="Heading2"/>
      </w:pPr>
      <w:r>
        <w:t xml:space="preserve">Tidy Data and Definitions</w:t>
      </w:r>
    </w:p>
    <w:p>
      <w:pPr>
        <w:pStyle w:val="FirstParagraph"/>
      </w:pPr>
      <w:r>
        <w:t xml:space="preserve">We formulate a tidy data set (refer to CAPEX tab in the submitted excel file) that allows Client to understand the approach of evaluation and estimation. The tidy data has been set up keeping in mind of following important points</w:t>
      </w:r>
    </w:p>
    <w:p>
      <w:pPr>
        <w:numPr>
          <w:ilvl w:val="0"/>
          <w:numId w:val="1003"/>
        </w:numPr>
        <w:pStyle w:val="Compact"/>
      </w:pPr>
      <w:r>
        <w:t xml:space="preserve">Column is attribute with the same type of unit for respective columns. Thus, no mixing of values are allowed. This keeps the consistency of the dataset for evaluation and summary purpose.</w:t>
      </w:r>
    </w:p>
    <w:p>
      <w:pPr>
        <w:numPr>
          <w:ilvl w:val="0"/>
          <w:numId w:val="1003"/>
        </w:numPr>
        <w:pStyle w:val="Compact"/>
      </w:pPr>
      <w:r>
        <w:t xml:space="preserve">Row is observation (CAPEX item)</w:t>
      </w:r>
    </w:p>
    <w:bookmarkStart w:id="27" w:name="condition-states-and-risks"/>
    <w:p>
      <w:pPr>
        <w:pStyle w:val="Heading3"/>
      </w:pPr>
      <w:r>
        <w:t xml:space="preserve">Condition States and Risks</w:t>
      </w:r>
    </w:p>
    <w:p>
      <w:pPr>
        <w:pStyle w:val="FirstParagraph"/>
      </w:pPr>
      <w:r>
        <w:t xml:space="preserve">In the context of TDD, Level of Services (LOS) for assets of a building are a qualitative adjustment and evaluation subjected to visual walk-through, interview, and observation on provided documents such as corrective and preventive maintenance records, standards of O&amp;M and specifications.</w:t>
      </w:r>
    </w:p>
    <w:p>
      <w:pPr>
        <w:pStyle w:val="BodyText"/>
      </w:pPr>
      <w:r>
        <w:t xml:space="preserve">Condition/Operation States, herein named as Condition State(CS) of the CAPEX items are defined using a discrete scale of 5 (refer to Table</w:t>
      </w:r>
      <w:r>
        <w:t xml:space="preserve"> </w:t>
      </w:r>
      <w:r>
        <w:t xml:space="preserve">2</w:t>
      </w:r>
      <w:r>
        <w:t xml:space="preserve">).</w:t>
      </w:r>
    </w:p>
    <w:p>
      <w:pPr>
        <w:pStyle w:val="TableCaption"/>
      </w:pPr>
      <w:r>
        <w:t xml:space="preserve">Table 2: Condition States</w:t>
      </w:r>
    </w:p>
    <w:tbl>
      <w:tblPr>
        <w:tblStyle w:val="Table"/>
        <w:tblW w:type="auto" w:w="0"/>
        <w:tblLook w:firstRow="1" w:lastRow="0" w:firstColumn="0" w:lastColumn="0" w:noHBand="0" w:noVBand="0" w:val="0020"/>
        <w:tblCaption w:val="Table 2: Condition States"/>
      </w:tblPr>
      <w:tblGrid>
        <w:gridCol w:w="2640"/>
        <w:gridCol w:w="2640"/>
        <w:gridCol w:w="2640"/>
      </w:tblGrid>
      <w:tr>
        <w:trPr>
          <w:tblHeader w:val="true"/>
        </w:trPr>
        <w:tc>
          <w:tcPr/>
          <w:p>
            <w:pPr>
              <w:pStyle w:val="Compact"/>
              <w:jc w:val="right"/>
            </w:pPr>
            <w:r>
              <w:t xml:space="preserve">CS</w:t>
            </w:r>
          </w:p>
        </w:tc>
        <w:tc>
          <w:tcPr/>
          <w:p>
            <w:pPr>
              <w:pStyle w:val="Compact"/>
              <w:jc w:val="left"/>
            </w:pPr>
            <w:r>
              <w:t xml:space="preserve">Description</w:t>
            </w:r>
          </w:p>
        </w:tc>
        <w:tc>
          <w:tcPr/>
          <w:p>
            <w:pPr>
              <w:pStyle w:val="Compact"/>
              <w:jc w:val="left"/>
            </w:pPr>
            <w:r>
              <w:t xml:space="preserve">Possible Intervention</w:t>
            </w:r>
          </w:p>
        </w:tc>
      </w:tr>
      <w:tr>
        <w:tc>
          <w:tcPr/>
          <w:p>
            <w:pPr>
              <w:pStyle w:val="Compact"/>
              <w:jc w:val="right"/>
            </w:pPr>
            <w:r>
              <w:t xml:space="preserve">0</w:t>
            </w:r>
          </w:p>
        </w:tc>
        <w:tc>
          <w:tcPr/>
          <w:p>
            <w:pPr>
              <w:pStyle w:val="Compact"/>
            </w:pPr>
          </w:p>
        </w:tc>
        <w:tc>
          <w:tcPr/>
          <w:p>
            <w:pPr>
              <w:pStyle w:val="Compact"/>
              <w:jc w:val="left"/>
            </w:pPr>
            <w:r>
              <w:t xml:space="preserve">Non existent</w:t>
            </w:r>
          </w:p>
        </w:tc>
      </w:tr>
      <w:tr>
        <w:tc>
          <w:tcPr/>
          <w:p>
            <w:pPr>
              <w:pStyle w:val="Compact"/>
              <w:jc w:val="right"/>
            </w:pPr>
            <w:r>
              <w:t xml:space="preserve">1</w:t>
            </w:r>
          </w:p>
        </w:tc>
        <w:tc>
          <w:tcPr/>
          <w:p>
            <w:pPr>
              <w:pStyle w:val="Compact"/>
              <w:jc w:val="left"/>
            </w:pPr>
            <w:r>
              <w:t xml:space="preserve">Very Good</w:t>
            </w:r>
          </w:p>
        </w:tc>
        <w:tc>
          <w:tcPr/>
          <w:p>
            <w:pPr>
              <w:pStyle w:val="Compact"/>
              <w:jc w:val="left"/>
            </w:pPr>
            <w:r>
              <w:t xml:space="preserve">only planned maintenance is required</w:t>
            </w:r>
          </w:p>
        </w:tc>
      </w:tr>
      <w:tr>
        <w:tc>
          <w:tcPr/>
          <w:p>
            <w:pPr>
              <w:pStyle w:val="Compact"/>
              <w:jc w:val="right"/>
            </w:pPr>
            <w:r>
              <w:t xml:space="preserve">2</w:t>
            </w:r>
          </w:p>
        </w:tc>
        <w:tc>
          <w:tcPr/>
          <w:p>
            <w:pPr>
              <w:pStyle w:val="Compact"/>
              <w:jc w:val="left"/>
            </w:pPr>
            <w:r>
              <w:t xml:space="preserve">Good, likely new</w:t>
            </w:r>
          </w:p>
        </w:tc>
        <w:tc>
          <w:tcPr/>
          <w:p>
            <w:pPr>
              <w:pStyle w:val="Compact"/>
              <w:jc w:val="left"/>
            </w:pPr>
            <w:r>
              <w:t xml:space="preserve">Minor maintenance required plus planned maintenance</w:t>
            </w:r>
          </w:p>
        </w:tc>
      </w:tr>
      <w:tr>
        <w:tc>
          <w:tcPr/>
          <w:p>
            <w:pPr>
              <w:pStyle w:val="Compact"/>
              <w:jc w:val="right"/>
            </w:pPr>
            <w:r>
              <w:t xml:space="preserve">3</w:t>
            </w:r>
          </w:p>
        </w:tc>
        <w:tc>
          <w:tcPr/>
          <w:p>
            <w:pPr>
              <w:pStyle w:val="Compact"/>
              <w:jc w:val="left"/>
            </w:pPr>
            <w:r>
              <w:t xml:space="preserve">Fair/moderate</w:t>
            </w:r>
          </w:p>
        </w:tc>
        <w:tc>
          <w:tcPr/>
          <w:p>
            <w:pPr>
              <w:pStyle w:val="Compact"/>
              <w:jc w:val="left"/>
            </w:pPr>
            <w:r>
              <w:t xml:space="preserve">Significant maintenance required</w:t>
            </w:r>
          </w:p>
        </w:tc>
      </w:tr>
      <w:tr>
        <w:tc>
          <w:tcPr/>
          <w:p>
            <w:pPr>
              <w:pStyle w:val="Compact"/>
              <w:jc w:val="right"/>
            </w:pPr>
            <w:r>
              <w:t xml:space="preserve">4</w:t>
            </w:r>
          </w:p>
        </w:tc>
        <w:tc>
          <w:tcPr/>
          <w:p>
            <w:pPr>
              <w:pStyle w:val="Compact"/>
              <w:jc w:val="left"/>
            </w:pPr>
            <w:r>
              <w:t xml:space="preserve">Poor/bad</w:t>
            </w:r>
          </w:p>
        </w:tc>
        <w:tc>
          <w:tcPr/>
          <w:p>
            <w:pPr>
              <w:pStyle w:val="Compact"/>
              <w:jc w:val="left"/>
            </w:pPr>
            <w:r>
              <w:t xml:space="preserve">Significant rehabilitation/replacement required</w:t>
            </w:r>
          </w:p>
        </w:tc>
      </w:tr>
      <w:tr>
        <w:tc>
          <w:tcPr/>
          <w:p>
            <w:pPr>
              <w:pStyle w:val="Compact"/>
              <w:jc w:val="right"/>
            </w:pPr>
            <w:r>
              <w:t xml:space="preserve">5</w:t>
            </w:r>
          </w:p>
        </w:tc>
        <w:tc>
          <w:tcPr/>
          <w:p>
            <w:pPr>
              <w:pStyle w:val="Compact"/>
              <w:jc w:val="left"/>
            </w:pPr>
            <w:r>
              <w:t xml:space="preserve">Very Poor/very bad</w:t>
            </w:r>
          </w:p>
        </w:tc>
        <w:tc>
          <w:tcPr/>
          <w:p>
            <w:pPr>
              <w:pStyle w:val="Compact"/>
              <w:jc w:val="left"/>
            </w:pPr>
            <w:r>
              <w:t xml:space="preserve">Physically unsound and/or beyond rehabilitation, need replacement or alternative renewal</w:t>
            </w:r>
          </w:p>
        </w:tc>
      </w:tr>
    </w:tbl>
    <w:p>
      <w:pPr>
        <w:pStyle w:val="BodyText"/>
      </w:pPr>
      <w:r>
        <w:t xml:space="preserve">It is important to note that only generic definition of CS is defined and the definition can be used globally for all type of assets of the targeted building. Engineers should use their own engineering adjustment and experience to define appropriately the CS. Findings and remarks are documented in order to provide validation on the decision on which CS is used for a particular asset.</w:t>
      </w:r>
    </w:p>
    <w:p>
      <w:pPr>
        <w:pStyle w:val="BodyText"/>
      </w:pPr>
      <w:r>
        <w:t xml:space="preserve">Risk is defined in three (3) categories (RED, AMBER, and GREEN). Table</w:t>
      </w:r>
      <w:r>
        <w:t xml:space="preserve"> </w:t>
      </w:r>
      <w:r>
        <w:t xml:space="preserve">3</w:t>
      </w:r>
      <w:r>
        <w:t xml:space="preserve"> </w:t>
      </w:r>
      <w:r>
        <w:t xml:space="preserve">gives a generic definition on risks.</w:t>
      </w:r>
    </w:p>
    <w:p>
      <w:pPr>
        <w:pStyle w:val="TableCaption"/>
      </w:pPr>
      <w:r>
        <w:t xml:space="preserve">Table 3: Risks</w:t>
      </w:r>
    </w:p>
    <w:tbl>
      <w:tblPr>
        <w:tblStyle w:val="Table"/>
        <w:tblW w:type="auto" w:w="0"/>
        <w:tblLook w:firstRow="1" w:lastRow="0" w:firstColumn="0" w:lastColumn="0" w:noHBand="0" w:noVBand="0" w:val="0020"/>
        <w:tblCaption w:val="Table 3: Risks"/>
      </w:tblPr>
      <w:tblGrid>
        <w:gridCol w:w="2640"/>
        <w:gridCol w:w="2640"/>
        <w:gridCol w:w="2640"/>
      </w:tblGrid>
      <w:tr>
        <w:trPr>
          <w:tblHeader w:val="true"/>
        </w:trPr>
        <w:tc>
          <w:tcPr/>
          <w:p>
            <w:pPr>
              <w:pStyle w:val="Compact"/>
              <w:jc w:val="right"/>
            </w:pPr>
            <w:r>
              <w:t xml:space="preserve">Risk</w:t>
            </w:r>
          </w:p>
        </w:tc>
        <w:tc>
          <w:tcPr/>
          <w:p>
            <w:pPr>
              <w:pStyle w:val="Compact"/>
              <w:jc w:val="left"/>
            </w:pPr>
            <w:r>
              <w:t xml:space="preserve">Name</w:t>
            </w:r>
          </w:p>
        </w:tc>
        <w:tc>
          <w:tcPr/>
          <w:p>
            <w:pPr>
              <w:pStyle w:val="Compact"/>
              <w:jc w:val="left"/>
            </w:pPr>
            <w:r>
              <w:t xml:space="preserve">Remarks</w:t>
            </w:r>
          </w:p>
        </w:tc>
      </w:tr>
      <w:tr>
        <w:tc>
          <w:tcPr/>
          <w:p>
            <w:pPr>
              <w:pStyle w:val="Compact"/>
              <w:jc w:val="right"/>
            </w:pPr>
            <w:r>
              <w:t xml:space="preserve">1</w:t>
            </w:r>
          </w:p>
        </w:tc>
        <w:tc>
          <w:tcPr/>
          <w:p>
            <w:pPr>
              <w:pStyle w:val="Compact"/>
              <w:jc w:val="left"/>
            </w:pPr>
            <w:r>
              <w:t xml:space="preserve">Green</w:t>
            </w:r>
          </w:p>
        </w:tc>
        <w:tc>
          <w:tcPr/>
          <w:p>
            <w:pPr>
              <w:pStyle w:val="Compact"/>
              <w:jc w:val="left"/>
            </w:pPr>
            <w:r>
              <w:t xml:space="preserve">Repair is somehow needed; However, repairs can be done withing above 6 years</w:t>
            </w:r>
          </w:p>
        </w:tc>
      </w:tr>
      <w:tr>
        <w:tc>
          <w:tcPr/>
          <w:p>
            <w:pPr>
              <w:pStyle w:val="Compact"/>
              <w:jc w:val="right"/>
            </w:pPr>
            <w:r>
              <w:t xml:space="preserve">2</w:t>
            </w:r>
          </w:p>
        </w:tc>
        <w:tc>
          <w:tcPr/>
          <w:p>
            <w:pPr>
              <w:pStyle w:val="Compact"/>
              <w:jc w:val="left"/>
            </w:pPr>
            <w:r>
              <w:t xml:space="preserve">Amber</w:t>
            </w:r>
          </w:p>
        </w:tc>
        <w:tc>
          <w:tcPr/>
          <w:p>
            <w:pPr>
              <w:pStyle w:val="Compact"/>
              <w:jc w:val="left"/>
            </w:pPr>
            <w:r>
              <w:t xml:space="preserve">Repair is needed; However, repairs can be done withing 1yr to 6yr span</w:t>
            </w:r>
          </w:p>
        </w:tc>
      </w:tr>
      <w:tr>
        <w:tc>
          <w:tcPr/>
          <w:p>
            <w:pPr>
              <w:pStyle w:val="Compact"/>
              <w:jc w:val="right"/>
            </w:pPr>
            <w:r>
              <w:t xml:space="preserve">3</w:t>
            </w:r>
          </w:p>
        </w:tc>
        <w:tc>
          <w:tcPr/>
          <w:p>
            <w:pPr>
              <w:pStyle w:val="Compact"/>
              <w:jc w:val="left"/>
            </w:pPr>
            <w:r>
              <w:t xml:space="preserve">Red</w:t>
            </w:r>
          </w:p>
        </w:tc>
        <w:tc>
          <w:tcPr/>
          <w:p>
            <w:pPr>
              <w:pStyle w:val="Compact"/>
              <w:jc w:val="left"/>
            </w:pPr>
            <w:r>
              <w:t xml:space="preserve">needs to be repaired immediately; Immediately needs replacement, May impose Health and Safety Risk, Upgrade to Codes</w:t>
            </w:r>
          </w:p>
        </w:tc>
      </w:tr>
    </w:tbl>
    <w:p>
      <w:pPr>
        <w:pStyle w:val="BodyText"/>
      </w:pPr>
      <w:r>
        <w:t xml:space="preserve">The</w:t>
      </w:r>
      <w:r>
        <w:t xml:space="preserve"> </w:t>
      </w:r>
      <w:r>
        <w:t xml:space="preserve">GREEN</w:t>
      </w:r>
      <w:r>
        <w:t xml:space="preserve"> </w:t>
      </w:r>
      <w:r>
        <w:t xml:space="preserve">code infers that in case of failure or in case of not providing adequate LOS, negative impact that could be generated by the asset is not significant. For example, if one part of the floor title located at the corner is damaged, it will not result in high consequence.</w:t>
      </w:r>
    </w:p>
    <w:p>
      <w:pPr>
        <w:pStyle w:val="BodyText"/>
      </w:pPr>
      <w:r>
        <w:t xml:space="preserve">The</w:t>
      </w:r>
      <w:r>
        <w:t xml:space="preserve"> </w:t>
      </w:r>
      <w:r>
        <w:t xml:space="preserve">AMBER</w:t>
      </w:r>
      <w:r>
        <w:t xml:space="preserve"> </w:t>
      </w:r>
      <w:r>
        <w:t xml:space="preserve">code infers that in case of failure or in case of not providing adequate LOS, negative impact that could be generated by the asset is moderate.</w:t>
      </w:r>
    </w:p>
    <w:p>
      <w:pPr>
        <w:pStyle w:val="BodyText"/>
      </w:pPr>
      <w:r>
        <w:t xml:space="preserve">The</w:t>
      </w:r>
      <w:r>
        <w:t xml:space="preserve"> </w:t>
      </w:r>
      <w:r>
        <w:t xml:space="preserve">RED</w:t>
      </w:r>
      <w:r>
        <w:t xml:space="preserve"> </w:t>
      </w:r>
      <w:r>
        <w:t xml:space="preserve"> </w:t>
      </w:r>
      <w:r>
        <w:t xml:space="preserve">code infers that in case of failure or in case of not providing adequate LOS, negative impact that could be generated by the asset is massive. For example, if the FDAS is not working, it will certainly cause a threat to the safety of people staying/working inside the building.</w:t>
      </w:r>
    </w:p>
    <w:bookmarkEnd w:id="27"/>
    <w:bookmarkStart w:id="28" w:name="compliance-assessment"/>
    <w:p>
      <w:pPr>
        <w:pStyle w:val="Heading3"/>
      </w:pPr>
      <w:r>
        <w:t xml:space="preserve">Compliance Assessment</w:t>
      </w:r>
    </w:p>
    <w:p>
      <w:pPr>
        <w:pStyle w:val="FirstParagraph"/>
      </w:pPr>
      <w:r>
        <w:t xml:space="preserve">Code Compliance is rated either 0 or 1 depending on the structure’s compliance to the National Structural Code of the Philippines 2015. It should be noted that some of the structures were built following the specifications of the Korean Structural Code. Structures that are code compliant are given a rating of 1 while those that are not compliant are given a rating of 0. Non code compliant structures are considered for immediate intervention to ensure these are built and operating appropriate to Philippine Standards.</w:t>
      </w:r>
    </w:p>
    <w:bookmarkEnd w:id="28"/>
    <w:bookmarkStart w:id="29" w:name="standards-life-expectancy-of-assets"/>
    <w:p>
      <w:pPr>
        <w:pStyle w:val="Heading3"/>
      </w:pPr>
      <w:r>
        <w:t xml:space="preserve">Standards Life Expectancy of Assets</w:t>
      </w:r>
    </w:p>
    <w:p>
      <w:pPr>
        <w:pStyle w:val="FirstParagraph"/>
      </w:pPr>
      <w:r>
        <w:t xml:space="preserve">Life expectancy of assets or components of assets is always uncertain variable. This is due to the fact that assets of the same types, same manufacturers and installed at the same time might have different end-of-life because they are under different ambient temperature, different loading and operational scheme. Therefore, a fixed end-of-life is never a persuasive number. However, for the purpose of this work, following indicative average end-of-life of assets have been assumed (Table</w:t>
      </w:r>
      <w:r>
        <w:t xml:space="preserve"> </w:t>
      </w:r>
      <w:r>
        <w:t xml:space="preserve">4</w:t>
      </w:r>
      <w:r>
        <w:t xml:space="preserve">).</w:t>
      </w:r>
    </w:p>
    <w:p>
      <w:pPr>
        <w:pStyle w:val="TableCaption"/>
      </w:pPr>
      <w:r>
        <w:t xml:space="preserve">Table 4: Expected average life expectancy of assets/components (years)</w:t>
      </w:r>
    </w:p>
    <w:tbl>
      <w:tblPr>
        <w:tblStyle w:val="Table"/>
        <w:tblW w:type="auto" w:w="0"/>
        <w:tblLook w:firstRow="1" w:lastRow="0" w:firstColumn="0" w:lastColumn="0" w:noHBand="0" w:noVBand="0" w:val="0020"/>
        <w:tblCaption w:val="Table 4: Expected average life expectancy of assets/components (years)"/>
      </w:tblPr>
      <w:tblGrid>
        <w:gridCol w:w="3960"/>
        <w:gridCol w:w="3960"/>
      </w:tblGrid>
      <w:tr>
        <w:trPr>
          <w:tblHeader w:val="true"/>
        </w:trPr>
        <w:tc>
          <w:tcPr/>
          <w:p>
            <w:pPr>
              <w:pStyle w:val="Compact"/>
              <w:jc w:val="left"/>
            </w:pPr>
            <w:r>
              <w:t xml:space="preserve">Assets/Components</w:t>
            </w:r>
          </w:p>
        </w:tc>
        <w:tc>
          <w:tcPr/>
          <w:p>
            <w:pPr>
              <w:pStyle w:val="Compact"/>
              <w:jc w:val="right"/>
            </w:pPr>
            <w:r>
              <w:t xml:space="preserve">Life Expectancy</w:t>
            </w:r>
          </w:p>
        </w:tc>
      </w:tr>
      <w:tr>
        <w:tc>
          <w:tcPr/>
          <w:p>
            <w:pPr>
              <w:pStyle w:val="Compact"/>
              <w:jc w:val="left"/>
            </w:pPr>
            <w:r>
              <w:t xml:space="preserve">Painting</w:t>
            </w:r>
          </w:p>
        </w:tc>
        <w:tc>
          <w:tcPr/>
          <w:p>
            <w:pPr>
              <w:pStyle w:val="Compact"/>
              <w:jc w:val="right"/>
            </w:pPr>
            <w:r>
              <w:t xml:space="preserve">10</w:t>
            </w:r>
          </w:p>
        </w:tc>
      </w:tr>
      <w:tr>
        <w:tc>
          <w:tcPr/>
          <w:p>
            <w:pPr>
              <w:pStyle w:val="Compact"/>
              <w:jc w:val="left"/>
            </w:pPr>
            <w:r>
              <w:t xml:space="preserve">Ceiling Board</w:t>
            </w:r>
          </w:p>
        </w:tc>
        <w:tc>
          <w:tcPr/>
          <w:p>
            <w:pPr>
              <w:pStyle w:val="Compact"/>
              <w:jc w:val="right"/>
            </w:pPr>
            <w:r>
              <w:t xml:space="preserve">15</w:t>
            </w:r>
          </w:p>
        </w:tc>
      </w:tr>
      <w:tr>
        <w:tc>
          <w:tcPr/>
          <w:p>
            <w:pPr>
              <w:pStyle w:val="Compact"/>
              <w:jc w:val="left"/>
            </w:pPr>
            <w:r>
              <w:t xml:space="preserve">Air-condition (flor mounted, DX type, inverter)</w:t>
            </w:r>
          </w:p>
        </w:tc>
        <w:tc>
          <w:tcPr/>
          <w:p>
            <w:pPr>
              <w:pStyle w:val="Compact"/>
              <w:jc w:val="right"/>
            </w:pPr>
            <w:r>
              <w:t xml:space="preserve">10</w:t>
            </w:r>
          </w:p>
        </w:tc>
      </w:tr>
      <w:tr>
        <w:tc>
          <w:tcPr/>
          <w:p>
            <w:pPr>
              <w:pStyle w:val="Compact"/>
              <w:jc w:val="left"/>
            </w:pPr>
            <w:r>
              <w:t xml:space="preserve">Panel Board</w:t>
            </w:r>
          </w:p>
        </w:tc>
        <w:tc>
          <w:tcPr/>
          <w:p>
            <w:pPr>
              <w:pStyle w:val="Compact"/>
              <w:jc w:val="right"/>
            </w:pPr>
            <w:r>
              <w:t xml:space="preserve">25</w:t>
            </w:r>
          </w:p>
        </w:tc>
      </w:tr>
      <w:tr>
        <w:tc>
          <w:tcPr/>
          <w:p>
            <w:pPr>
              <w:pStyle w:val="Compact"/>
              <w:jc w:val="left"/>
            </w:pPr>
            <w:r>
              <w:t xml:space="preserve">Polycarbonate roof</w:t>
            </w:r>
          </w:p>
        </w:tc>
        <w:tc>
          <w:tcPr/>
          <w:p>
            <w:pPr>
              <w:pStyle w:val="Compact"/>
              <w:jc w:val="right"/>
            </w:pPr>
            <w:r>
              <w:t xml:space="preserve">25</w:t>
            </w:r>
          </w:p>
        </w:tc>
      </w:tr>
      <w:tr>
        <w:tc>
          <w:tcPr/>
          <w:p>
            <w:pPr>
              <w:pStyle w:val="Compact"/>
              <w:jc w:val="left"/>
            </w:pPr>
            <w:r>
              <w:t xml:space="preserve">Electrical Wirings (not exposed to weather)</w:t>
            </w:r>
          </w:p>
        </w:tc>
        <w:tc>
          <w:tcPr/>
          <w:p>
            <w:pPr>
              <w:pStyle w:val="Compact"/>
              <w:jc w:val="right"/>
            </w:pPr>
            <w:r>
              <w:t xml:space="preserve">50</w:t>
            </w:r>
          </w:p>
        </w:tc>
      </w:tr>
      <w:tr>
        <w:tc>
          <w:tcPr/>
          <w:p>
            <w:pPr>
              <w:pStyle w:val="Compact"/>
              <w:jc w:val="left"/>
            </w:pPr>
            <w:r>
              <w:t xml:space="preserve">Electrical Wirings (exposed)</w:t>
            </w:r>
          </w:p>
        </w:tc>
        <w:tc>
          <w:tcPr/>
          <w:p>
            <w:pPr>
              <w:pStyle w:val="Compact"/>
              <w:jc w:val="right"/>
            </w:pPr>
            <w:r>
              <w:t xml:space="preserve">25</w:t>
            </w:r>
          </w:p>
        </w:tc>
      </w:tr>
      <w:tr>
        <w:tc>
          <w:tcPr/>
          <w:p>
            <w:pPr>
              <w:pStyle w:val="Compact"/>
              <w:jc w:val="left"/>
            </w:pPr>
            <w:r>
              <w:t xml:space="preserve">Generator Set</w:t>
            </w:r>
          </w:p>
        </w:tc>
        <w:tc>
          <w:tcPr/>
          <w:p>
            <w:pPr>
              <w:pStyle w:val="Compact"/>
              <w:jc w:val="right"/>
            </w:pPr>
            <w:r>
              <w:t xml:space="preserve">30</w:t>
            </w:r>
          </w:p>
        </w:tc>
      </w:tr>
      <w:tr>
        <w:tc>
          <w:tcPr/>
          <w:p>
            <w:pPr>
              <w:pStyle w:val="Compact"/>
              <w:jc w:val="left"/>
            </w:pPr>
            <w:r>
              <w:t xml:space="preserve">Linoleum</w:t>
            </w:r>
          </w:p>
        </w:tc>
        <w:tc>
          <w:tcPr/>
          <w:p>
            <w:pPr>
              <w:pStyle w:val="Compact"/>
              <w:jc w:val="right"/>
            </w:pPr>
            <w:r>
              <w:t xml:space="preserve">20</w:t>
            </w:r>
          </w:p>
        </w:tc>
      </w:tr>
      <w:tr>
        <w:tc>
          <w:tcPr/>
          <w:p>
            <w:pPr>
              <w:pStyle w:val="Compact"/>
              <w:jc w:val="left"/>
            </w:pPr>
            <w:r>
              <w:t xml:space="preserve">Steel plate</w:t>
            </w:r>
          </w:p>
        </w:tc>
        <w:tc>
          <w:tcPr/>
          <w:p>
            <w:pPr>
              <w:pStyle w:val="Compact"/>
              <w:jc w:val="right"/>
            </w:pPr>
            <w:r>
              <w:t xml:space="preserve">20</w:t>
            </w:r>
          </w:p>
        </w:tc>
      </w:tr>
      <w:tr>
        <w:tc>
          <w:tcPr/>
          <w:p>
            <w:pPr>
              <w:pStyle w:val="Compact"/>
              <w:jc w:val="left"/>
            </w:pPr>
            <w:r>
              <w:t xml:space="preserve">Electrical &amp; Auxillary equipment</w:t>
            </w:r>
          </w:p>
        </w:tc>
        <w:tc>
          <w:tcPr/>
          <w:p>
            <w:pPr>
              <w:pStyle w:val="Compact"/>
              <w:jc w:val="right"/>
            </w:pPr>
            <w:r>
              <w:t xml:space="preserve">30</w:t>
            </w:r>
          </w:p>
        </w:tc>
      </w:tr>
      <w:tr>
        <w:tc>
          <w:tcPr/>
          <w:p>
            <w:pPr>
              <w:pStyle w:val="Compact"/>
              <w:jc w:val="left"/>
            </w:pPr>
            <w:r>
              <w:t xml:space="preserve">Waterproofing</w:t>
            </w:r>
          </w:p>
        </w:tc>
        <w:tc>
          <w:tcPr/>
          <w:p>
            <w:pPr>
              <w:pStyle w:val="Compact"/>
              <w:jc w:val="right"/>
            </w:pPr>
            <w:r>
              <w:t xml:space="preserve">25</w:t>
            </w:r>
          </w:p>
        </w:tc>
      </w:tr>
      <w:tr>
        <w:tc>
          <w:tcPr/>
          <w:p>
            <w:pPr>
              <w:pStyle w:val="Compact"/>
              <w:jc w:val="left"/>
            </w:pPr>
            <w:r>
              <w:t xml:space="preserve">HVAC System</w:t>
            </w:r>
          </w:p>
        </w:tc>
        <w:tc>
          <w:tcPr/>
          <w:p>
            <w:pPr>
              <w:pStyle w:val="Compact"/>
              <w:jc w:val="right"/>
            </w:pPr>
            <w:r>
              <w:t xml:space="preserve">30</w:t>
            </w:r>
          </w:p>
        </w:tc>
      </w:tr>
      <w:tr>
        <w:tc>
          <w:tcPr/>
          <w:p>
            <w:pPr>
              <w:pStyle w:val="Compact"/>
              <w:jc w:val="left"/>
            </w:pPr>
            <w:r>
              <w:t xml:space="preserve">Lifts</w:t>
            </w:r>
          </w:p>
        </w:tc>
        <w:tc>
          <w:tcPr/>
          <w:p>
            <w:pPr>
              <w:pStyle w:val="Compact"/>
              <w:jc w:val="right"/>
            </w:pPr>
            <w:r>
              <w:t xml:space="preserve">25</w:t>
            </w:r>
          </w:p>
        </w:tc>
      </w:tr>
      <w:tr>
        <w:tc>
          <w:tcPr/>
          <w:p>
            <w:pPr>
              <w:pStyle w:val="Compact"/>
              <w:jc w:val="left"/>
            </w:pPr>
            <w:r>
              <w:t xml:space="preserve">Vinyl tiles</w:t>
            </w:r>
          </w:p>
        </w:tc>
        <w:tc>
          <w:tcPr/>
          <w:p>
            <w:pPr>
              <w:pStyle w:val="Compact"/>
              <w:jc w:val="right"/>
            </w:pPr>
            <w:r>
              <w:t xml:space="preserve">20</w:t>
            </w:r>
          </w:p>
        </w:tc>
      </w:tr>
    </w:tbl>
    <w:p>
      <w:pPr>
        <w:pStyle w:val="BodyText"/>
      </w:pPr>
      <w:r>
        <w:t xml:space="preserve">With the project’s 25-year CAPEX consideration, the asset’s life expectancy is also noted for the purpose of providing another cost item once an asset’s life is exhausted. As an example, items listed with repainting will be listed recurringly since the paint’s life expectancy is just 10 years and repainting will have to be done after that.</w:t>
      </w:r>
    </w:p>
    <w:bookmarkEnd w:id="29"/>
    <w:bookmarkStart w:id="30" w:name="X5c103fc090430ff1e271389356bed8ce428fccf"/>
    <w:p>
      <w:pPr>
        <w:pStyle w:val="Heading3"/>
      </w:pPr>
      <w:r>
        <w:t xml:space="preserve">Intervention Types, Strategies, and Program</w:t>
      </w:r>
    </w:p>
    <w:p>
      <w:pPr>
        <w:pStyle w:val="FirstParagraph"/>
      </w:pPr>
      <w:r>
        <w:t xml:space="preserve">Intervention is a global term encompassing a number of activities on assets such as: Do Nothing, Repair, Maintenance, Renewal, Replacement, and Upgrade. Intervention type refers to a specific type of intervention on an asset such as crack sealing with epoxy glue. Intervention strategy is a set of intervention types that can be executed in time and space. Intervention strategy can be for one asset or a group of assets. In many cases, a set of intervention strategies will form an intervention program or or a workplan.</w:t>
      </w:r>
    </w:p>
    <w:p>
      <w:pPr>
        <w:pStyle w:val="TableCaption"/>
      </w:pPr>
      <w:r>
        <w:t xml:space="preserve">Table 5: Intervention Types</w:t>
      </w:r>
    </w:p>
    <w:tbl>
      <w:tblPr>
        <w:tblStyle w:val="Table"/>
        <w:tblW w:type="auto" w:w="0"/>
        <w:tblLook w:firstRow="1" w:lastRow="0" w:firstColumn="0" w:lastColumn="0" w:noHBand="0" w:noVBand="0" w:val="0020"/>
        <w:tblCaption w:val="Table 5: Intervention Types"/>
      </w:tblPr>
      <w:tblGrid>
        <w:gridCol w:w="3960"/>
        <w:gridCol w:w="3960"/>
      </w:tblGrid>
      <w:tr>
        <w:trPr>
          <w:tblHeader w:val="true"/>
        </w:trPr>
        <w:tc>
          <w:tcPr/>
          <w:p>
            <w:pPr>
              <w:pStyle w:val="Compact"/>
              <w:jc w:val="right"/>
            </w:pPr>
            <w:r>
              <w:t xml:space="preserve">Type</w:t>
            </w:r>
          </w:p>
        </w:tc>
        <w:tc>
          <w:tcPr/>
          <w:p>
            <w:pPr>
              <w:pStyle w:val="Compact"/>
              <w:jc w:val="left"/>
            </w:pPr>
            <w:r>
              <w:t xml:space="preserve">Definition</w:t>
            </w:r>
          </w:p>
        </w:tc>
      </w:tr>
      <w:tr>
        <w:tc>
          <w:tcPr/>
          <w:p>
            <w:pPr>
              <w:pStyle w:val="Compact"/>
              <w:jc w:val="right"/>
            </w:pPr>
            <w:r>
              <w:t xml:space="preserve">1</w:t>
            </w:r>
          </w:p>
        </w:tc>
        <w:tc>
          <w:tcPr/>
          <w:p>
            <w:pPr>
              <w:pStyle w:val="Compact"/>
              <w:jc w:val="left"/>
            </w:pPr>
            <w:r>
              <w:t xml:space="preserve">Do Nothing</w:t>
            </w:r>
          </w:p>
        </w:tc>
      </w:tr>
      <w:tr>
        <w:tc>
          <w:tcPr/>
          <w:p>
            <w:pPr>
              <w:pStyle w:val="Compact"/>
              <w:jc w:val="right"/>
            </w:pPr>
            <w:r>
              <w:t xml:space="preserve">2</w:t>
            </w:r>
          </w:p>
        </w:tc>
        <w:tc>
          <w:tcPr/>
          <w:p>
            <w:pPr>
              <w:pStyle w:val="Compact"/>
              <w:jc w:val="left"/>
            </w:pPr>
            <w:r>
              <w:t xml:space="preserve">Minor Repair</w:t>
            </w:r>
          </w:p>
        </w:tc>
      </w:tr>
      <w:tr>
        <w:tc>
          <w:tcPr/>
          <w:p>
            <w:pPr>
              <w:pStyle w:val="Compact"/>
              <w:jc w:val="right"/>
            </w:pPr>
            <w:r>
              <w:t xml:space="preserve">3</w:t>
            </w:r>
          </w:p>
        </w:tc>
        <w:tc>
          <w:tcPr/>
          <w:p>
            <w:pPr>
              <w:pStyle w:val="Compact"/>
              <w:jc w:val="left"/>
            </w:pPr>
            <w:r>
              <w:t xml:space="preserve">Major Repair</w:t>
            </w:r>
          </w:p>
        </w:tc>
      </w:tr>
      <w:tr>
        <w:tc>
          <w:tcPr/>
          <w:p>
            <w:pPr>
              <w:pStyle w:val="Compact"/>
              <w:jc w:val="right"/>
            </w:pPr>
            <w:r>
              <w:t xml:space="preserve">4</w:t>
            </w:r>
          </w:p>
        </w:tc>
        <w:tc>
          <w:tcPr/>
          <w:p>
            <w:pPr>
              <w:pStyle w:val="Compact"/>
              <w:jc w:val="left"/>
            </w:pPr>
            <w:r>
              <w:t xml:space="preserve">Rehabilitation</w:t>
            </w:r>
          </w:p>
        </w:tc>
      </w:tr>
      <w:tr>
        <w:tc>
          <w:tcPr/>
          <w:p>
            <w:pPr>
              <w:pStyle w:val="Compact"/>
              <w:jc w:val="right"/>
            </w:pPr>
            <w:r>
              <w:t xml:space="preserve">5</w:t>
            </w:r>
          </w:p>
        </w:tc>
        <w:tc>
          <w:tcPr/>
          <w:p>
            <w:pPr>
              <w:pStyle w:val="Compact"/>
              <w:jc w:val="left"/>
            </w:pPr>
            <w:r>
              <w:t xml:space="preserve">Replacement</w:t>
            </w:r>
          </w:p>
        </w:tc>
      </w:tr>
      <w:tr>
        <w:tc>
          <w:tcPr/>
          <w:p>
            <w:pPr>
              <w:pStyle w:val="Compact"/>
              <w:jc w:val="right"/>
            </w:pPr>
            <w:r>
              <w:t xml:space="preserve">6</w:t>
            </w:r>
          </w:p>
        </w:tc>
        <w:tc>
          <w:tcPr/>
          <w:p>
            <w:pPr>
              <w:pStyle w:val="Compact"/>
              <w:jc w:val="left"/>
            </w:pPr>
            <w:r>
              <w:t xml:space="preserve">Alternative Renewal</w:t>
            </w:r>
          </w:p>
        </w:tc>
      </w:tr>
      <w:tr>
        <w:tc>
          <w:tcPr/>
          <w:p>
            <w:pPr>
              <w:pStyle w:val="Compact"/>
              <w:jc w:val="right"/>
            </w:pPr>
            <w:r>
              <w:t xml:space="preserve">7</w:t>
            </w:r>
          </w:p>
        </w:tc>
        <w:tc>
          <w:tcPr/>
          <w:p>
            <w:pPr>
              <w:pStyle w:val="Compact"/>
              <w:jc w:val="left"/>
            </w:pPr>
            <w:r>
              <w:t xml:space="preserve">Audit and Testing</w:t>
            </w:r>
          </w:p>
        </w:tc>
      </w:tr>
      <w:tr>
        <w:tc>
          <w:tcPr/>
          <w:p>
            <w:pPr>
              <w:pStyle w:val="Compact"/>
              <w:jc w:val="right"/>
            </w:pPr>
            <w:r>
              <w:t xml:space="preserve">8</w:t>
            </w:r>
          </w:p>
        </w:tc>
        <w:tc>
          <w:tcPr/>
          <w:p>
            <w:pPr>
              <w:pStyle w:val="Compact"/>
              <w:jc w:val="left"/>
            </w:pPr>
            <w:r>
              <w:t xml:space="preserve">Replacement due to Life Expectancy</w:t>
            </w:r>
          </w:p>
        </w:tc>
      </w:tr>
      <w:tr>
        <w:tc>
          <w:tcPr/>
          <w:p>
            <w:pPr>
              <w:pStyle w:val="Compact"/>
              <w:jc w:val="right"/>
            </w:pPr>
            <w:r>
              <w:t xml:space="preserve">9</w:t>
            </w:r>
          </w:p>
        </w:tc>
        <w:tc>
          <w:tcPr/>
          <w:p>
            <w:pPr>
              <w:pStyle w:val="Compact"/>
              <w:jc w:val="left"/>
            </w:pPr>
            <w:r>
              <w:t xml:space="preserve">Soft Cost</w:t>
            </w:r>
          </w:p>
        </w:tc>
      </w:tr>
    </w:tbl>
    <w:bookmarkEnd w:id="30"/>
    <w:bookmarkEnd w:id="31"/>
    <w:bookmarkStart w:id="32" w:name="capex-modeling-and-cashflow-analysis"/>
    <w:p>
      <w:pPr>
        <w:pStyle w:val="Heading2"/>
      </w:pPr>
      <w:r>
        <w:t xml:space="preserve">CAPEX modeling and Cashflow Analysis</w:t>
      </w:r>
    </w:p>
    <w:p>
      <w:pPr>
        <w:pStyle w:val="FirstParagraph"/>
      </w:pPr>
      <w:r>
        <w:t xml:space="preserve">Per Client’s specific requirements, CAPEX modelling is of deterministic model with discount rate of 0%. The cashflow analysis will be done for 25 years taking into consideration of end of service life of assets recommended by either manufacturers (in the event of knowing the data) or Arcadis’s standard table.</w:t>
      </w:r>
    </w:p>
    <w:bookmarkEnd w:id="32"/>
    <w:bookmarkEnd w:id="33"/>
    <w:bookmarkStart w:id="58" w:name="Xc60b19e318ba22c9b37f8b4f95e2d0849d05a3d"/>
    <w:p>
      <w:pPr>
        <w:pStyle w:val="Heading1"/>
      </w:pPr>
      <w:r>
        <w:t xml:space="preserve">Highlights on Findings and Intervention Types</w:t>
      </w:r>
    </w:p>
    <w:p>
      <w:pPr>
        <w:pStyle w:val="FirstParagraph"/>
      </w:pPr>
      <w:r>
        <w:t xml:space="preserve">This section briefly describes the important findings that led to the determination of intervention types and strategies for some typical facilities. The findings include the value of condition states and risks. Based on the condition states and risks, an intervention type and strategy has been formulated with detailed scope given in columns named</w:t>
      </w:r>
      <w:r>
        <w:t xml:space="preserve"> </w:t>
      </w:r>
      <w:r>
        <w:t xml:space="preserve">“</w:t>
      </w:r>
      <w:r>
        <w:t xml:space="preserve">Reasons for Interventions</w:t>
      </w:r>
      <w:r>
        <w:t xml:space="preserve">”</w:t>
      </w:r>
      <w:r>
        <w:t xml:space="preserve"> </w:t>
      </w:r>
      <w:r>
        <w:t xml:space="preserve">and</w:t>
      </w:r>
      <w:r>
        <w:t xml:space="preserve"> </w:t>
      </w:r>
      <w:r>
        <w:t xml:space="preserve">“</w:t>
      </w:r>
      <w:r>
        <w:t xml:space="preserve">Scope of Work</w:t>
      </w:r>
      <w:r>
        <w:t xml:space="preserve">”</w:t>
      </w:r>
      <w:r>
        <w:t xml:space="preserve">, respectively. Readers of the report is encouraged to refer to the provided excel file.</w:t>
      </w:r>
    </w:p>
    <w:p>
      <w:pPr>
        <w:pStyle w:val="BodyText"/>
      </w:pPr>
      <w:r>
        <w:t xml:space="preserve">In addition to the condition state and risk, we have also focused on an important aspect that is the COMPLIANCE. The compliance is a matter of uncertain. For example, under the context of uncertainty analysis, it is, in some cases, to be believed that the structure of a specific facility might no longer provided adequate level of services if there is a strong earthquake generated nearby the Shipyard area. As the facilities were built more than 10 years ago, it is likely that structural code used for design might be no longer met the current requirement from Philippine Structure Codes. In such as circumstance, there is a need to provide retrofitting or strengthening of the existing structure. Similarly, aside from compliance to structure code, there might be issues with compliance to other codes such as environmental, electrical, water and wastewater.</w:t>
      </w:r>
    </w:p>
    <w:p>
      <w:pPr>
        <w:pStyle w:val="BodyText"/>
      </w:pPr>
      <w:r>
        <w:t xml:space="preserve">It is important to note the compliance or incompliance to codes must be verified in Engineering Phase. Within the context of this phase, we have agreed with the Client to go with a conservative approach, e.g. to assume incompliance on particular parts of the facilities if found necessary.</w:t>
      </w:r>
    </w:p>
    <w:bookmarkStart w:id="42" w:name="general-1"/>
    <w:p>
      <w:pPr>
        <w:pStyle w:val="Heading2"/>
      </w:pPr>
      <w:r>
        <w:t xml:space="preserve">General</w:t>
      </w:r>
    </w:p>
    <w:bookmarkStart w:id="34" w:name="structure-code-incompliance"/>
    <w:p>
      <w:pPr>
        <w:pStyle w:val="Heading3"/>
      </w:pPr>
      <w:r>
        <w:t xml:space="preserve">Structure Code Incompliance</w:t>
      </w:r>
    </w:p>
    <w:p>
      <w:pPr>
        <w:pStyle w:val="FirstParagraph"/>
      </w:pPr>
      <w:r>
        <w:t xml:space="preserve">Most of the buildings and facilities within the shipyard were designed and constructed from 2006 to 2009 using the Korean Building Code and the NSCP 2001. With the release of memorandum from DPWH, all structures 15 yrs and above must remain contemporary with the latest local governing structural code – NSCP 2015.</w:t>
      </w:r>
    </w:p>
    <w:p>
      <w:pPr>
        <w:pStyle w:val="BodyText"/>
      </w:pPr>
      <w:r>
        <w:t xml:space="preserve">Considering the latest code, we believe that there is a high probability that existing structures are subjected to have structural strengthening works. Thus, we indicate in our analysis a major CapEx components for most of the structures of the shipyard, that is to perform structural upgrade or retrofitting. Readers of the report can refer to columns</w:t>
      </w:r>
      <w:r>
        <w:t xml:space="preserve"> </w:t>
      </w:r>
      <w:r>
        <w:t xml:space="preserve">“</w:t>
      </w:r>
      <w:r>
        <w:t xml:space="preserve">Code Compliance</w:t>
      </w:r>
      <w:r>
        <w:t xml:space="preserve">”</w:t>
      </w:r>
      <w:r>
        <w:t xml:space="preserve"> </w:t>
      </w:r>
      <w:r>
        <w:t xml:space="preserve">in Table</w:t>
      </w:r>
      <w:r>
        <w:t xml:space="preserve"> </w:t>
      </w:r>
      <w:r>
        <w:t xml:space="preserve">“</w:t>
      </w:r>
      <w:r>
        <w:t xml:space="preserve">CAPEX</w:t>
      </w:r>
      <w:r>
        <w:t xml:space="preserve">”</w:t>
      </w:r>
      <w:r>
        <w:t xml:space="preserve"> </w:t>
      </w:r>
      <w:r>
        <w:t xml:space="preserve">of the provided tidy data set.</w:t>
      </w:r>
    </w:p>
    <w:bookmarkEnd w:id="34"/>
    <w:bookmarkStart w:id="35" w:name="hvac"/>
    <w:p>
      <w:pPr>
        <w:pStyle w:val="Heading3"/>
      </w:pPr>
      <w:r>
        <w:t xml:space="preserve">HVAC</w:t>
      </w:r>
    </w:p>
    <w:p>
      <w:pPr>
        <w:pStyle w:val="FirstParagraph"/>
      </w:pPr>
      <w:r>
        <w:t xml:space="preserve">Montreal released a protocol that R-22 and R-123 refrigerants affects the ozone layers depletion. This protocol was observed and made these refrigerants be phase-out by year 2020-2030.</w:t>
      </w:r>
    </w:p>
    <w:p>
      <w:pPr>
        <w:pStyle w:val="BodyText"/>
      </w:pPr>
      <w:r>
        <w:t xml:space="preserve">All the HVAC system installed in the shipyard still using these refrigerants. With this scenario, replacement of HVAC system needs replacements to all the buildings within 5-yrs or until refrigerant runs out as these refrigerants are already out in the market. Some of the HVAC can still be in use; however, efficiency cannot be maximized due to its condition.</w:t>
      </w:r>
    </w:p>
    <w:bookmarkEnd w:id="35"/>
    <w:bookmarkStart w:id="37" w:name="environmental-code-incompliance"/>
    <w:p>
      <w:pPr>
        <w:pStyle w:val="Heading3"/>
      </w:pPr>
      <w:r>
        <w:t xml:space="preserve">Environmental Code Incompliance</w:t>
      </w:r>
    </w:p>
    <w:p>
      <w:pPr>
        <w:pStyle w:val="FirstParagraph"/>
      </w:pPr>
      <w:r>
        <w:t xml:space="preserve">It was confirmed through the site inspection that most of the facilities does not have its own catch drain. All its downspouts are directing to the main road which might cause flooding in the area (refer to Figure</w:t>
      </w:r>
      <w:r>
        <w:t xml:space="preserve"> </w:t>
      </w:r>
      <w:r>
        <w:t xml:space="preserve">2</w:t>
      </w:r>
      <w:r>
        <w:t xml:space="preserve">). Provision of construction of storm ditches are provide in the CAPEX program.</w:t>
      </w:r>
    </w:p>
    <w:p>
      <w:pPr>
        <w:pStyle w:val="CaptionedFigure"/>
      </w:pPr>
      <w:r>
        <w:drawing>
          <wp:inline>
            <wp:extent cx="4620126" cy="3696101"/>
            <wp:effectExtent b="0" l="0" r="0" t="0"/>
            <wp:docPr descr="Figure 2: No storm ditches" title="" id="1" name="Picture"/>
            <a:graphic>
              <a:graphicData uri="http://schemas.openxmlformats.org/drawingml/2006/picture">
                <pic:pic>
                  <pic:nvPicPr>
                    <pic:cNvPr descr="report_files/figure-docx/downspout-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 No storm ditches</w:t>
      </w:r>
    </w:p>
    <w:bookmarkEnd w:id="37"/>
    <w:bookmarkStart w:id="41" w:name="shared-facilities"/>
    <w:p>
      <w:pPr>
        <w:pStyle w:val="Heading3"/>
      </w:pPr>
      <w:r>
        <w:t xml:space="preserve">Shared Facilities</w:t>
      </w:r>
    </w:p>
    <w:p>
      <w:pPr>
        <w:pStyle w:val="FirstParagraph"/>
      </w:pPr>
      <w:r>
        <w:t xml:space="preserve">The previous operation of shipyard was operated as one component where all these utilities are interconnected. With the plan to divide the area into four tenants, operating the shipyard will be challenging. Hence, set of measures where laid to different utilities to make the operation less complicated. Details of this discussion are found in</w:t>
      </w:r>
      <w:r>
        <w:t xml:space="preserve"> </w:t>
      </w:r>
      <w:r>
        <w:t xml:space="preserve">“</w:t>
      </w:r>
      <w:r>
        <w:t xml:space="preserve">Shared Utilities Report</w:t>
      </w:r>
      <w:r>
        <w:t xml:space="preserve">”</w:t>
      </w:r>
      <w:r>
        <w:t xml:space="preserve">.</w:t>
      </w:r>
    </w:p>
    <w:bookmarkStart w:id="38" w:name="water-utilities"/>
    <w:p>
      <w:pPr>
        <w:pStyle w:val="Heading4"/>
      </w:pPr>
      <w:r>
        <w:t xml:space="preserve">Water Utilities</w:t>
      </w:r>
    </w:p>
    <w:p>
      <w:pPr>
        <w:pStyle w:val="FirstParagraph"/>
      </w:pPr>
      <w:r>
        <w:t xml:space="preserve">To measure the water consumption of all tenants, installation of water meters must be installed strategically in places where all the readings must be captured. Supply and installation cost of these water meters were included in the CapEx</w:t>
      </w:r>
    </w:p>
    <w:bookmarkEnd w:id="38"/>
    <w:bookmarkStart w:id="39" w:name="power-utilities"/>
    <w:p>
      <w:pPr>
        <w:pStyle w:val="Heading4"/>
      </w:pPr>
      <w:r>
        <w:t xml:space="preserve">Power Utilities</w:t>
      </w:r>
    </w:p>
    <w:p>
      <w:pPr>
        <w:pStyle w:val="FirstParagraph"/>
      </w:pPr>
      <w:r>
        <w:t xml:space="preserve">Software for the power monitoring is already outdated according to Hanjin’s operator. Provision of CapEx for the upgrading of this software is incorporated to check the power consumption of the four tenant’s.</w:t>
      </w:r>
    </w:p>
    <w:bookmarkEnd w:id="39"/>
    <w:bookmarkStart w:id="40" w:name="fencing"/>
    <w:p>
      <w:pPr>
        <w:pStyle w:val="Heading4"/>
      </w:pPr>
      <w:r>
        <w:t xml:space="preserve">Fencing</w:t>
      </w:r>
    </w:p>
    <w:p>
      <w:pPr>
        <w:pStyle w:val="FirstParagraph"/>
      </w:pPr>
      <w:r>
        <w:t xml:space="preserve">As per Client’s requirement, construction of fencing is necessary to provide privacy and security of the tenant most especially for the Philippine Navy. At least 9100 l.m. of fence is required to barricade the tenant’s division.</w:t>
      </w:r>
    </w:p>
    <w:bookmarkEnd w:id="40"/>
    <w:bookmarkEnd w:id="41"/>
    <w:bookmarkEnd w:id="42"/>
    <w:bookmarkStart w:id="45" w:name="main-office-building"/>
    <w:p>
      <w:pPr>
        <w:pStyle w:val="Heading2"/>
      </w:pPr>
      <w:r>
        <w:t xml:space="preserve">Main Office Building</w:t>
      </w:r>
    </w:p>
    <w:p>
      <w:pPr>
        <w:pStyle w:val="FirstParagraph"/>
      </w:pPr>
      <w:r>
        <w:t xml:space="preserve">From our meeting with Philippine Navy together with Cerberus, they are planning to divide the main office building into different office sectors.</w:t>
      </w:r>
    </w:p>
    <w:p>
      <w:pPr>
        <w:pStyle w:val="BodyText"/>
      </w:pPr>
      <w:r>
        <w:t xml:space="preserve">Per site visit, replacement of the carpets and ceiling boards due to stains are needed to restore its as-built condition. Aside from these, extension of wires and replacement of Korean brand outlets are necessary as the current set-up may not fit with the Philippine Navy’s purpose.</w:t>
      </w:r>
    </w:p>
    <w:p>
      <w:pPr>
        <w:pStyle w:val="CaptionedFigure"/>
      </w:pPr>
      <w:r>
        <w:drawing>
          <wp:inline>
            <wp:extent cx="4620126" cy="3696101"/>
            <wp:effectExtent b="0" l="0" r="0" t="0"/>
            <wp:docPr descr="Figure 3: Poor condition of carpets and ceiling boards" title="" id="1" name="Picture"/>
            <a:graphic>
              <a:graphicData uri="http://schemas.openxmlformats.org/drawingml/2006/picture">
                <pic:pic>
                  <pic:nvPicPr>
                    <pic:cNvPr descr="report_files/figure-docx/mo12-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Poor condition of carpets and ceiling boards</w:t>
      </w:r>
    </w:p>
    <w:p>
      <w:pPr>
        <w:pStyle w:val="BodyText"/>
      </w:pPr>
      <w:r>
        <w:t xml:space="preserve">One major intervention of the building is one of its HVAC has serious gushing of water. Current alternative repair is feasible, however, needs to be replaced in within 5yrs due to condition and efficiency.</w:t>
      </w:r>
    </w:p>
    <w:p>
      <w:pPr>
        <w:pStyle w:val="CaptionedFigure"/>
      </w:pPr>
      <w:r>
        <w:drawing>
          <wp:inline>
            <wp:extent cx="3340273" cy="2505205"/>
            <wp:effectExtent b="0" l="0" r="0" t="0"/>
            <wp:docPr descr="Figure 4: Gushing of water - HVAC" title="" id="1" name="Picture"/>
            <a:graphic>
              <a:graphicData uri="http://schemas.openxmlformats.org/drawingml/2006/picture">
                <pic:pic>
                  <pic:nvPicPr>
                    <pic:cNvPr descr="../visuals/MO3.png" id="0" name="Picture"/>
                    <pic:cNvPicPr>
                      <a:picLocks noChangeArrowheads="1" noChangeAspect="1"/>
                    </pic:cNvPicPr>
                  </pic:nvPicPr>
                  <pic:blipFill>
                    <a:blip r:embed="rId44"/>
                    <a:stretch>
                      <a:fillRect/>
                    </a:stretch>
                  </pic:blipFill>
                  <pic:spPr bwMode="auto">
                    <a:xfrm>
                      <a:off x="0" y="0"/>
                      <a:ext cx="3340273" cy="2505205"/>
                    </a:xfrm>
                    <a:prstGeom prst="rect">
                      <a:avLst/>
                    </a:prstGeom>
                    <a:noFill/>
                    <a:ln w="9525">
                      <a:noFill/>
                      <a:headEnd/>
                      <a:tailEnd/>
                    </a:ln>
                  </pic:spPr>
                </pic:pic>
              </a:graphicData>
            </a:graphic>
          </wp:inline>
        </w:drawing>
      </w:r>
    </w:p>
    <w:p>
      <w:pPr>
        <w:pStyle w:val="ImageCaption"/>
      </w:pPr>
      <w:r>
        <w:t xml:space="preserve">Figure 4: Gushing of water - HVAC</w:t>
      </w:r>
    </w:p>
    <w:bookmarkEnd w:id="45"/>
    <w:bookmarkStart w:id="48" w:name="barracks"/>
    <w:p>
      <w:pPr>
        <w:pStyle w:val="Heading2"/>
      </w:pPr>
      <w:r>
        <w:t xml:space="preserve">Barracks</w:t>
      </w:r>
    </w:p>
    <w:p>
      <w:pPr>
        <w:pStyle w:val="FirstParagraph"/>
      </w:pPr>
      <w:r>
        <w:t xml:space="preserve">Most of the barracks intervention are fit-out to remain its as-built condition when Philippine Navy used this facility. The interventions are interior paints are vandalized and stains, linoleum floorings are dilapidated, comfort rooms are in poor condition and most of the window type AC’s are not working.</w:t>
      </w:r>
    </w:p>
    <w:p>
      <w:pPr>
        <w:pStyle w:val="CaptionedFigure"/>
      </w:pPr>
      <w:r>
        <w:drawing>
          <wp:inline>
            <wp:extent cx="4620126" cy="3696101"/>
            <wp:effectExtent b="0" l="0" r="0" t="0"/>
            <wp:docPr descr="Figure 5: Poor conditions of assets in Barracks" title="" id="1" name="Picture"/>
            <a:graphic>
              <a:graphicData uri="http://schemas.openxmlformats.org/drawingml/2006/picture">
                <pic:pic>
                  <pic:nvPicPr>
                    <pic:cNvPr descr="report_files/figure-docx/barrack12-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 Poor conditions of assets in Barracks</w:t>
      </w:r>
    </w:p>
    <w:p>
      <w:pPr>
        <w:pStyle w:val="CaptionedFigure"/>
      </w:pPr>
      <w:r>
        <w:drawing>
          <wp:inline>
            <wp:extent cx="4620126" cy="3696101"/>
            <wp:effectExtent b="0" l="0" r="0" t="0"/>
            <wp:docPr descr="Figure 6: Poor conditions of assets in Barracks" title="" id="1" name="Picture"/>
            <a:graphic>
              <a:graphicData uri="http://schemas.openxmlformats.org/drawingml/2006/picture">
                <pic:pic>
                  <pic:nvPicPr>
                    <pic:cNvPr descr="report_files/figure-docx/barrack34-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Poor conditions of assets in Barracks</w:t>
      </w:r>
    </w:p>
    <w:p>
      <w:pPr>
        <w:pStyle w:val="BodyText"/>
      </w:pPr>
      <w:r>
        <w:t xml:space="preserve">One barrack has a serious issue its wooden flooring was infested by termites. Due to this, major repair is needed to restore its useful condition.</w:t>
      </w:r>
    </w:p>
    <w:bookmarkEnd w:id="48"/>
    <w:bookmarkStart w:id="50" w:name="field-offices"/>
    <w:p>
      <w:pPr>
        <w:pStyle w:val="Heading2"/>
      </w:pPr>
      <w:r>
        <w:t xml:space="preserve">Field Offices</w:t>
      </w:r>
    </w:p>
    <w:p>
      <w:pPr>
        <w:pStyle w:val="FirstParagraph"/>
      </w:pPr>
      <w:r>
        <w:t xml:space="preserve">Most of the offices has dilapidated rubberized flooring, vandalized walls, damage ceilings, and HVAC’s not working. To make the field office workable as per fit to purpose, interventions are needed such as repainting, installation/extensions of new electrical wires, IT support services and replacement of HVACs.</w:t>
      </w:r>
    </w:p>
    <w:p>
      <w:pPr>
        <w:pStyle w:val="CaptionedFigure"/>
      </w:pPr>
      <w:r>
        <w:drawing>
          <wp:inline>
            <wp:extent cx="4620126" cy="3696101"/>
            <wp:effectExtent b="0" l="0" r="0" t="0"/>
            <wp:docPr descr="Figure 7: Poor conditions of assets in field offices" title="" id="1" name="Picture"/>
            <a:graphic>
              <a:graphicData uri="http://schemas.openxmlformats.org/drawingml/2006/picture">
                <pic:pic>
                  <pic:nvPicPr>
                    <pic:cNvPr descr="report_files/figure-docx/fieldoffices-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Poor conditions of assets in field offices</w:t>
      </w:r>
    </w:p>
    <w:bookmarkEnd w:id="50"/>
    <w:bookmarkStart w:id="52" w:name="piping-pre-treatment-buildinggalva"/>
    <w:p>
      <w:pPr>
        <w:pStyle w:val="Heading2"/>
      </w:pPr>
      <w:r>
        <w:t xml:space="preserve">Piping Pre-treatment building/Galva</w:t>
      </w:r>
    </w:p>
    <w:p>
      <w:pPr>
        <w:pStyle w:val="FirstParagraph"/>
      </w:pPr>
      <w:r>
        <w:t xml:space="preserve">Piping pre-treatment building is one of the worst building conditions in the shipyard due to its previous usage where all the shipyards pipes are treated in this building using chemicals; the GI roofs and walls including its insulation needs replacement due to it is rusted and dilapidated; its structural steel frames are corroded and needs careful attention to remove all this rust and provide paint protection.</w:t>
      </w:r>
    </w:p>
    <w:p>
      <w:pPr>
        <w:pStyle w:val="CaptionedFigure"/>
      </w:pPr>
      <w:r>
        <w:drawing>
          <wp:inline>
            <wp:extent cx="4620126" cy="3696101"/>
            <wp:effectExtent b="0" l="0" r="0" t="0"/>
            <wp:docPr descr="Figure 8: Poor conditions of assets in Piping treatment Buildings/Galva" title="" id="1" name="Picture"/>
            <a:graphic>
              <a:graphicData uri="http://schemas.openxmlformats.org/drawingml/2006/picture">
                <pic:pic>
                  <pic:nvPicPr>
                    <pic:cNvPr descr="report_files/figure-docx/pipingtreatment-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8: Poor conditions of assets in Piping treatment Buildings/Galva</w:t>
      </w:r>
    </w:p>
    <w:bookmarkEnd w:id="52"/>
    <w:bookmarkStart w:id="57" w:name="possible-demolition"/>
    <w:p>
      <w:pPr>
        <w:pStyle w:val="Heading2"/>
      </w:pPr>
      <w:r>
        <w:t xml:space="preserve">Possible Demolition</w:t>
      </w:r>
    </w:p>
    <w:p>
      <w:pPr>
        <w:pStyle w:val="FirstParagraph"/>
      </w:pPr>
      <w:r>
        <w:t xml:space="preserve">Aside from the pre-treatment building, there are other two (2) building that has a serious building condition – The CO2 plant and the Production Center/Hospital building. These buildings might be required for partial to entire demolition.</w:t>
      </w:r>
    </w:p>
    <w:bookmarkStart w:id="54" w:name="co2-plant"/>
    <w:p>
      <w:pPr>
        <w:pStyle w:val="Heading3"/>
      </w:pPr>
      <w:r>
        <w:t xml:space="preserve">CO2 Plant</w:t>
      </w:r>
    </w:p>
    <w:p>
      <w:pPr>
        <w:pStyle w:val="FirstParagraph"/>
      </w:pPr>
      <w:r>
        <w:t xml:space="preserve">The CO2 plant, same with pre-treatment-building is a chemical production building that was used for the treatment of the pipe. To date, Philippine Navy has no plans to take-over this facility but with its condition, it is better to demolish the facility since its structural members including the roofs are corroded and rusted.</w:t>
      </w:r>
    </w:p>
    <w:p>
      <w:pPr>
        <w:pStyle w:val="CaptionedFigure"/>
      </w:pPr>
      <w:r>
        <w:drawing>
          <wp:inline>
            <wp:extent cx="3340273" cy="2505205"/>
            <wp:effectExtent b="0" l="0" r="0" t="0"/>
            <wp:docPr descr="Figure 9: CO2 Plant" title="" id="1" name="Picture"/>
            <a:graphic>
              <a:graphicData uri="http://schemas.openxmlformats.org/drawingml/2006/picture">
                <pic:pic>
                  <pic:nvPicPr>
                    <pic:cNvPr descr="../visuals/CO2Plant.png" id="0" name="Picture"/>
                    <pic:cNvPicPr>
                      <a:picLocks noChangeArrowheads="1" noChangeAspect="1"/>
                    </pic:cNvPicPr>
                  </pic:nvPicPr>
                  <pic:blipFill>
                    <a:blip r:embed="rId53"/>
                    <a:stretch>
                      <a:fillRect/>
                    </a:stretch>
                  </pic:blipFill>
                  <pic:spPr bwMode="auto">
                    <a:xfrm>
                      <a:off x="0" y="0"/>
                      <a:ext cx="3340273" cy="2505205"/>
                    </a:xfrm>
                    <a:prstGeom prst="rect">
                      <a:avLst/>
                    </a:prstGeom>
                    <a:noFill/>
                    <a:ln w="9525">
                      <a:noFill/>
                      <a:headEnd/>
                      <a:tailEnd/>
                    </a:ln>
                  </pic:spPr>
                </pic:pic>
              </a:graphicData>
            </a:graphic>
          </wp:inline>
        </w:drawing>
      </w:r>
    </w:p>
    <w:p>
      <w:pPr>
        <w:pStyle w:val="ImageCaption"/>
      </w:pPr>
      <w:r>
        <w:t xml:space="preserve">Figure 9: CO2 Plant</w:t>
      </w:r>
    </w:p>
    <w:bookmarkEnd w:id="54"/>
    <w:bookmarkStart w:id="56" w:name="production-centerhospital-building"/>
    <w:p>
      <w:pPr>
        <w:pStyle w:val="Heading3"/>
      </w:pPr>
      <w:r>
        <w:t xml:space="preserve">Production Center/Hospital Building</w:t>
      </w:r>
    </w:p>
    <w:p>
      <w:pPr>
        <w:pStyle w:val="FirstParagraph"/>
      </w:pPr>
      <w:r>
        <w:t xml:space="preserve">It was reported by the staff of Hanjin shipyard that, due to the earthquake occurred on April 2019, there has been several damages to the building. In our view, there is a possible reason that there is a lack of lateral restraint (shear walls), under which, the internal masonry wall might have accepted most of laterial forces and this might be the source of cracking and other damages.</w:t>
      </w:r>
    </w:p>
    <w:p>
      <w:pPr>
        <w:pStyle w:val="CaptionedFigure"/>
      </w:pPr>
      <w:r>
        <w:drawing>
          <wp:inline>
            <wp:extent cx="4620126" cy="3696101"/>
            <wp:effectExtent b="0" l="0" r="0" t="0"/>
            <wp:docPr descr="Figure 10: Poor conditions of assets in Piping treatment Buildings/Galva" title="" id="1" name="Picture"/>
            <a:graphic>
              <a:graphicData uri="http://schemas.openxmlformats.org/drawingml/2006/picture">
                <pic:pic>
                  <pic:nvPicPr>
                    <pic:cNvPr descr="report_files/figure-docx/mansorywall-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10: Poor conditions of assets in Piping treatment Buildings/Galva</w:t>
      </w:r>
    </w:p>
    <w:bookmarkEnd w:id="56"/>
    <w:bookmarkEnd w:id="57"/>
    <w:bookmarkEnd w:id="58"/>
    <w:bookmarkStart w:id="65" w:name="intervention-strategies-and-programs"/>
    <w:p>
      <w:pPr>
        <w:pStyle w:val="Heading1"/>
      </w:pPr>
      <w:r>
        <w:t xml:space="preserve">Intervention Strategies and Programs</w:t>
      </w:r>
    </w:p>
    <w:p>
      <w:pPr>
        <w:pStyle w:val="FirstParagraph"/>
      </w:pPr>
      <w:r>
        <w:t xml:space="preserve">As explained in early section, once intervention types are generated for each facilities, we can formulate Intervention Strategies and Programs.</w:t>
      </w:r>
    </w:p>
    <w:p>
      <w:pPr>
        <w:pStyle w:val="BodyText"/>
      </w:pPr>
      <w:r>
        <w:t xml:space="preserve">Intervention Strategies need to be strategized based on Client’s requirements on when tenants are expected to occupy and take over the space for their business operation. Intervention Program is then linked to Procurement Strategies, that is how many Contractors the Client wishes to engage in order to execute construction works for CAPEX items.</w:t>
      </w:r>
    </w:p>
    <w:p>
      <w:pPr>
        <w:pStyle w:val="BodyText"/>
      </w:pPr>
      <w:r>
        <w:t xml:space="preserve">Per discussion with the Client, Arcadis has formulated the Intervention Strategies and Program based on following assumptions</w:t>
      </w:r>
    </w:p>
    <w:p>
      <w:pPr>
        <w:numPr>
          <w:ilvl w:val="0"/>
          <w:numId w:val="1004"/>
        </w:numPr>
        <w:pStyle w:val="Compact"/>
      </w:pPr>
      <w:r>
        <w:t xml:space="preserve">There will be three phases of CAPEX program</w:t>
      </w:r>
    </w:p>
    <w:p>
      <w:pPr>
        <w:numPr>
          <w:ilvl w:val="1"/>
          <w:numId w:val="1005"/>
        </w:numPr>
        <w:pStyle w:val="Compact"/>
      </w:pPr>
      <w:r>
        <w:t xml:space="preserve">Engineering Phase: The phase required to perform physical verification for code compliance and detailed design of facilities;</w:t>
      </w:r>
    </w:p>
    <w:p>
      <w:pPr>
        <w:numPr>
          <w:ilvl w:val="1"/>
          <w:numId w:val="1005"/>
        </w:numPr>
        <w:pStyle w:val="Compact"/>
      </w:pPr>
      <w:r>
        <w:t xml:space="preserve">Procurement Phase: Preparation of specifications, bill of quantity, contract documentation to form a tender package. This phase includes bidding process, evaluation, and award of contract to winning Contractors;</w:t>
      </w:r>
    </w:p>
    <w:p>
      <w:pPr>
        <w:numPr>
          <w:ilvl w:val="1"/>
          <w:numId w:val="1005"/>
        </w:numPr>
        <w:pStyle w:val="Compact"/>
      </w:pPr>
      <w:r>
        <w:t xml:space="preserve">Construction Phase: Winning Contractors to execute physical intervention works within a specific timeline.</w:t>
      </w:r>
    </w:p>
    <w:p>
      <w:pPr>
        <w:numPr>
          <w:ilvl w:val="0"/>
          <w:numId w:val="1004"/>
        </w:numPr>
        <w:pStyle w:val="Compact"/>
      </w:pPr>
      <w:r>
        <w:t xml:space="preserve">The total duration of CAPEX program will be concentrated in the first 2 years, with flexibility to defer a certain works if Tenants require. Within the 2 years CAPEX program, the first 4-6 months will be allocated for Engineering Phase and Procurement Phase. These two phases can be executed in parallel. The rest of the time will be allocated for the Construction Phase.</w:t>
      </w:r>
    </w:p>
    <w:p>
      <w:pPr>
        <w:numPr>
          <w:ilvl w:val="0"/>
          <w:numId w:val="1004"/>
        </w:numPr>
        <w:pStyle w:val="Compact"/>
      </w:pPr>
      <w:r>
        <w:t xml:space="preserve">Construction Works for many facilities will be done in parallel in order to meet the targeted timeline. This can be done by strategically formulate the program into 2 to 3 Procurement Packages that will be then awarded to more than one main Contractors. By doing so, risks on labor and resources might be minimized as currently and in the next 1-2 years, the construction market in the Philippines is still very active. This is due to the policy of the current government to construct many major infrastructure works. In addition, by having more than 1 main Contractors, the Client can minimize the risks of having insufficient cashflow of the Contractors.</w:t>
      </w:r>
    </w:p>
    <w:bookmarkStart w:id="64" w:name="major-intervention-strategies"/>
    <w:p>
      <w:pPr>
        <w:pStyle w:val="Heading2"/>
      </w:pPr>
      <w:r>
        <w:t xml:space="preserve">Major Intervention Strategies</w:t>
      </w:r>
    </w:p>
    <w:bookmarkStart w:id="59" w:name="austal"/>
    <w:p>
      <w:pPr>
        <w:pStyle w:val="Heading3"/>
      </w:pPr>
      <w:r>
        <w:t xml:space="preserve">Austal</w:t>
      </w:r>
    </w:p>
    <w:p>
      <w:pPr>
        <w:pStyle w:val="FirstParagraph"/>
      </w:pPr>
      <w:r>
        <w:t xml:space="preserve">Offices is one of the Austal much needed facilities. In order to fast track its repair and rehabilitation, we might require 3 teams doing the nine (9) field offices in parallel. With this strategy, finishing the offices may be possible within six (6) months. Total fit-out cost of the field offices for Austal area is USD 1,482,060 and is to be spent up from 6-12 months.</w:t>
      </w:r>
    </w:p>
    <w:p>
      <w:pPr>
        <w:pStyle w:val="BodyText"/>
      </w:pPr>
      <w:r>
        <w:t xml:space="preserve">Aside from field offices, a total of USD 6,456,120 is envisaged to be spent within 2 years program after the mobilization of the contractor. This is for the repair, rehabilitation and strengthening of the structural steel framed facilities. The assumption is to executed the works by 3 different teams – apart from the 3 contractors working on the field offices – will work on the strengthening and repair. The strategy is to commence the construction at the hull shop followed by the nearby facilities down to the less important once such as the tool shop, outfitting shop and Air-compressed room 2,3.</w:t>
      </w:r>
    </w:p>
    <w:bookmarkEnd w:id="59"/>
    <w:bookmarkStart w:id="60" w:name="navy"/>
    <w:p>
      <w:pPr>
        <w:pStyle w:val="Heading3"/>
      </w:pPr>
      <w:r>
        <w:t xml:space="preserve">Navy</w:t>
      </w:r>
    </w:p>
    <w:p>
      <w:pPr>
        <w:pStyle w:val="FirstParagraph"/>
      </w:pPr>
      <w:r>
        <w:t xml:space="preserve">Most of the facilities in the Philippine Navy area are needed immediately such as Main Office building, Catering center, Barracks, field offices and other facilities. In order to speed up the construction, we have allocated at least 10-12 contractors working at the same time for the 37 facilities.</w:t>
      </w:r>
    </w:p>
    <w:p>
      <w:pPr>
        <w:pStyle w:val="BodyText"/>
      </w:pPr>
      <w:r>
        <w:t xml:space="preserve">The main office, catering center and the three (3) field offices can be done by one team per facility. This work shall be commerced immediately after the Procurement Phase completed so as the Client can handle over to tenant in case of need. The three major works can be done relatively around 200 calendar days.</w:t>
      </w:r>
    </w:p>
    <w:p>
      <w:pPr>
        <w:pStyle w:val="BodyText"/>
      </w:pPr>
      <w:r>
        <w:t xml:space="preserve">Aside from the above-mentioned facilities, barracks are also one of the important facilities to work with as navy personnel will use this as their sleeping quarters. Unofficially, according to Philippine Navy presentation, the number of personnel that will be brought inside the facility is by batch. Our basic strategy is to allow three (3) teams to work simultaneously with the first 3 barracks and the rest of the barracks will follow after the completion of the other. Most probably, the Philippine Navy might be able to strategize on how many of the personnel can be deploy inside the facility.</w:t>
      </w:r>
    </w:p>
    <w:p>
      <w:pPr>
        <w:pStyle w:val="BodyText"/>
      </w:pPr>
      <w:r>
        <w:t xml:space="preserve">Pre-treatment Building/Galva is anticipated to receive major rehabilitation and the construction work for this building might be able to be done not in priority (per discussion with the Client). In this respect, the commencement date might be of flexibility. From the constructability and feasibility of duration, around 270 calendar days would be possible to complete the rehabilitation program for the facility.</w:t>
      </w:r>
    </w:p>
    <w:bookmarkEnd w:id="60"/>
    <w:bookmarkStart w:id="61" w:name="dock-6"/>
    <w:p>
      <w:pPr>
        <w:pStyle w:val="Heading3"/>
      </w:pPr>
      <w:r>
        <w:t xml:space="preserve">Dock 6</w:t>
      </w:r>
    </w:p>
    <w:p>
      <w:pPr>
        <w:pStyle w:val="FirstParagraph"/>
      </w:pPr>
      <w:r>
        <w:t xml:space="preserve">Majority of intervention works on Dock 6 is with structural upgrade for most of the field offices. We anticipate on the schedule that majority of works could be achived around 200 days with three teams to perform the work in parallel.</w:t>
      </w:r>
    </w:p>
    <w:bookmarkEnd w:id="61"/>
    <w:bookmarkStart w:id="62" w:name="tenant-3"/>
    <w:p>
      <w:pPr>
        <w:pStyle w:val="Heading3"/>
      </w:pPr>
      <w:r>
        <w:t xml:space="preserve">Tenant 3</w:t>
      </w:r>
    </w:p>
    <w:p>
      <w:pPr>
        <w:pStyle w:val="FirstParagraph"/>
      </w:pPr>
      <w:r>
        <w:t xml:space="preserve">Most of the facilities in the tenant 3 are recently built (2017). Only 3 facilities within the area were constructed in 2006 to 2009 which are the T-HBD shelter, H-Cover shelter and D-House shelter. As they are old buildings, they might need to receive structural upgrade due to possible code incompliance.</w:t>
      </w:r>
    </w:p>
    <w:p>
      <w:pPr>
        <w:pStyle w:val="BodyText"/>
      </w:pPr>
      <w:r>
        <w:t xml:space="preserve">Other facilities in the area is relatively new, minor repairs are only expected except to those mentioned facilities that were constructed later.</w:t>
      </w:r>
    </w:p>
    <w:bookmarkEnd w:id="62"/>
    <w:bookmarkStart w:id="63" w:name="shared-facilities-1"/>
    <w:p>
      <w:pPr>
        <w:pStyle w:val="Heading3"/>
      </w:pPr>
      <w:r>
        <w:t xml:space="preserve">Shared Facilities</w:t>
      </w:r>
    </w:p>
    <w:p>
      <w:pPr>
        <w:pStyle w:val="FirstParagraph"/>
      </w:pPr>
      <w:r>
        <w:t xml:space="preserve">Per Client’s request, shared facilities and utilities must provide adequate level of services from the onset of operation as they are critical facilities. Thus, the intervention strategies are to execute them as soon as possible. Possibly immediately after the Procurement Phase or even earlier if some procurment packages specifically designed for shared facilities are completed earlier.</w:t>
      </w:r>
    </w:p>
    <w:p>
      <w:pPr>
        <w:pStyle w:val="BodyText"/>
      </w:pPr>
      <w:r>
        <w:t xml:space="preserve">More or less, in term of duration, 150 days or less shall be sufficient to carry out construction works. Detailed schedule of the intervention program is given in the Appendix.</w:t>
      </w:r>
    </w:p>
    <w:bookmarkEnd w:id="63"/>
    <w:bookmarkEnd w:id="64"/>
    <w:bookmarkEnd w:id="65"/>
    <w:bookmarkStart w:id="80" w:name="cashflow-and-capex-analysis"/>
    <w:p>
      <w:pPr>
        <w:pStyle w:val="Heading1"/>
      </w:pPr>
      <w:r>
        <w:t xml:space="preserve">Cashflow and CAPEX analysis</w:t>
      </w:r>
    </w:p>
    <w:p>
      <w:pPr>
        <w:pStyle w:val="FirstParagraph"/>
      </w:pPr>
      <w:r>
        <w:t xml:space="preserve">In this section, a brief cashflow analysis is presented, keeping in mind that the intervention works will be concentrated in the immediate and short-term, for medium and long-term, most of the works are recurrence of a certain type of activities due to end of life.</w:t>
      </w:r>
    </w:p>
    <w:bookmarkStart w:id="70" w:name="general-2"/>
    <w:p>
      <w:pPr>
        <w:pStyle w:val="Heading2"/>
      </w:pPr>
      <w:r>
        <w:t xml:space="preserve">General</w:t>
      </w:r>
    </w:p>
    <w:p>
      <w:pPr>
        <w:pStyle w:val="FirstParagraph"/>
      </w:pPr>
      <w:r>
        <w:t xml:space="preserve">Yearly budget distribution has been generated based on Arcadis’s assumptions on intervention year.</w:t>
      </w:r>
    </w:p>
    <w:p>
      <w:pPr>
        <w:pStyle w:val="BodyText"/>
      </w:pPr>
      <w:r>
        <w:t xml:space="preserve">Intervention year is triggered by having to</w:t>
      </w:r>
    </w:p>
    <w:p>
      <w:pPr>
        <w:numPr>
          <w:ilvl w:val="0"/>
          <w:numId w:val="1006"/>
        </w:numPr>
        <w:pStyle w:val="Compact"/>
      </w:pPr>
      <w:r>
        <w:t xml:space="preserve">satisfy code compliance if deems violate</w:t>
      </w:r>
    </w:p>
    <w:p>
      <w:pPr>
        <w:numPr>
          <w:ilvl w:val="0"/>
          <w:numId w:val="1006"/>
        </w:numPr>
        <w:pStyle w:val="Compact"/>
      </w:pPr>
      <w:r>
        <w:t xml:space="preserve">Condition state and risk</w:t>
      </w:r>
    </w:p>
    <w:p>
      <w:pPr>
        <w:numPr>
          <w:ilvl w:val="0"/>
          <w:numId w:val="1006"/>
        </w:numPr>
        <w:pStyle w:val="Compact"/>
      </w:pPr>
      <w:r>
        <w:t xml:space="preserve">Tenant’s specific decision (if applicable)</w:t>
      </w:r>
    </w:p>
    <w:p>
      <w:pPr>
        <w:numPr>
          <w:ilvl w:val="0"/>
          <w:numId w:val="1006"/>
        </w:numPr>
        <w:pStyle w:val="Compact"/>
      </w:pPr>
      <w:r>
        <w:t xml:space="preserve">cycle of replacement based on expected life expectancy</w:t>
      </w:r>
    </w:p>
    <w:p>
      <w:pPr>
        <w:pStyle w:val="FirstParagraph"/>
      </w:pPr>
      <w:r>
        <w:t xml:space="preserve">CAPEX program will be distributed in each year, with summary on</w:t>
      </w:r>
    </w:p>
    <w:p>
      <w:pPr>
        <w:numPr>
          <w:ilvl w:val="0"/>
          <w:numId w:val="1007"/>
        </w:numPr>
        <w:pStyle w:val="Compact"/>
      </w:pPr>
      <w:r>
        <w:rPr>
          <w:bCs/>
          <w:b/>
        </w:rPr>
        <w:t xml:space="preserve">Immediate term</w:t>
      </w:r>
      <w:r>
        <w:t xml:space="preserve">: year 0</w:t>
      </w:r>
    </w:p>
    <w:p>
      <w:pPr>
        <w:numPr>
          <w:ilvl w:val="0"/>
          <w:numId w:val="1007"/>
        </w:numPr>
        <w:pStyle w:val="Compact"/>
      </w:pPr>
      <w:r>
        <w:rPr>
          <w:bCs/>
          <w:b/>
        </w:rPr>
        <w:t xml:space="preserve">Short Term</w:t>
      </w:r>
      <w:r>
        <w:t xml:space="preserve">: year 1 and 5</w:t>
      </w:r>
    </w:p>
    <w:p>
      <w:pPr>
        <w:numPr>
          <w:ilvl w:val="0"/>
          <w:numId w:val="1007"/>
        </w:numPr>
        <w:pStyle w:val="Compact"/>
      </w:pPr>
      <w:r>
        <w:rPr>
          <w:bCs/>
          <w:b/>
        </w:rPr>
        <w:t xml:space="preserve">Medium Term</w:t>
      </w:r>
      <w:r>
        <w:t xml:space="preserve">: year 6 to year 10</w:t>
      </w:r>
    </w:p>
    <w:p>
      <w:pPr>
        <w:numPr>
          <w:ilvl w:val="0"/>
          <w:numId w:val="1007"/>
        </w:numPr>
        <w:pStyle w:val="Compact"/>
      </w:pPr>
      <w:r>
        <w:rPr>
          <w:bCs/>
          <w:b/>
        </w:rPr>
        <w:t xml:space="preserve">Long Term</w:t>
      </w:r>
      <w:r>
        <w:t xml:space="preserve">: year 11 to year 25</w:t>
      </w:r>
    </w:p>
    <w:p>
      <w:pPr>
        <w:pStyle w:val="FirstParagraph"/>
      </w:pPr>
      <w:r>
        <w:t xml:space="preserve">Tables</w:t>
      </w:r>
      <w:r>
        <w:t xml:space="preserve"> </w:t>
      </w:r>
      <w:r>
        <w:t xml:space="preserve">6</w:t>
      </w:r>
      <w:r>
        <w:t xml:space="preserve"> </w:t>
      </w:r>
      <w:r>
        <w:t xml:space="preserve">presents the yearly distribution of CAPEX under each disciplines.</w:t>
      </w:r>
    </w:p>
    <w:p>
      <w:pPr>
        <w:pStyle w:val="TableCaption"/>
      </w:pPr>
      <w:r>
        <w:t xml:space="preserve">Table 6: Yearly CAPEX Distribution - Disciplines</w:t>
      </w:r>
    </w:p>
    <w:tbl>
      <w:tblPr>
        <w:tblStyle w:val="Table"/>
        <w:tblW w:type="pct" w:w="5000"/>
        <w:tblLook w:firstRow="1" w:lastRow="0" w:firstColumn="0" w:lastColumn="0" w:noHBand="0" w:noVBand="0" w:val="0020"/>
        <w:tblCaption w:val="Table 6: Yearly CAPEX Distribution - Disciplines"/>
      </w:tblPr>
      <w:tblGrid>
        <w:gridCol w:w="1566"/>
        <w:gridCol w:w="1131"/>
        <w:gridCol w:w="1044"/>
        <w:gridCol w:w="1131"/>
        <w:gridCol w:w="1131"/>
        <w:gridCol w:w="1131"/>
        <w:gridCol w:w="783"/>
      </w:tblGrid>
      <w:tr>
        <w:trPr>
          <w:tblHeader w:val="true"/>
        </w:trPr>
        <w:tc>
          <w:tcPr/>
          <w:p>
            <w:pPr>
              <w:pStyle w:val="Compact"/>
              <w:jc w:val="left"/>
            </w:pPr>
            <w:r>
              <w:t xml:space="preserve">Disciplines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Structural</w:t>
            </w:r>
          </w:p>
        </w:tc>
        <w:tc>
          <w:tcPr/>
          <w:p>
            <w:pPr>
              <w:pStyle w:val="Compact"/>
              <w:jc w:val="right"/>
            </w:pPr>
            <w:r>
              <w:t xml:space="preserve">10,037,250</w:t>
            </w:r>
          </w:p>
        </w:tc>
        <w:tc>
          <w:tcPr/>
          <w:p>
            <w:pPr>
              <w:pStyle w:val="Compact"/>
              <w:jc w:val="right"/>
            </w:pPr>
            <w:r>
              <w:t xml:space="preserve">30,000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10,067,250</w:t>
            </w:r>
          </w:p>
        </w:tc>
        <w:tc>
          <w:tcPr/>
          <w:p>
            <w:pPr>
              <w:pStyle w:val="Compact"/>
              <w:jc w:val="right"/>
            </w:pPr>
            <w:r>
              <w:t xml:space="preserve">19.35</w:t>
            </w:r>
          </w:p>
        </w:tc>
      </w:tr>
      <w:tr>
        <w:tc>
          <w:tcPr/>
          <w:p>
            <w:pPr>
              <w:pStyle w:val="Compact"/>
              <w:jc w:val="left"/>
            </w:pPr>
            <w:r>
              <w:t xml:space="preserve">Mechanical</w:t>
            </w:r>
          </w:p>
        </w:tc>
        <w:tc>
          <w:tcPr/>
          <w:p>
            <w:pPr>
              <w:pStyle w:val="Compact"/>
              <w:jc w:val="right"/>
            </w:pPr>
            <w:r>
              <w:t xml:space="preserve">790,400</w:t>
            </w:r>
          </w:p>
        </w:tc>
        <w:tc>
          <w:tcPr/>
          <w:p>
            <w:pPr>
              <w:pStyle w:val="Compact"/>
              <w:jc w:val="right"/>
            </w:pPr>
            <w:r>
              <w:t xml:space="preserve">2,618,160</w:t>
            </w:r>
          </w:p>
        </w:tc>
        <w:tc>
          <w:tcPr/>
          <w:p>
            <w:pPr>
              <w:pStyle w:val="Compact"/>
              <w:jc w:val="right"/>
            </w:pPr>
            <w:r>
              <w:t xml:space="preserve">567,360</w:t>
            </w:r>
          </w:p>
        </w:tc>
        <w:tc>
          <w:tcPr/>
          <w:p>
            <w:pPr>
              <w:pStyle w:val="Compact"/>
              <w:jc w:val="right"/>
            </w:pPr>
            <w:r>
              <w:t xml:space="preserve">5,136,250</w:t>
            </w:r>
          </w:p>
        </w:tc>
        <w:tc>
          <w:tcPr/>
          <w:p>
            <w:pPr>
              <w:pStyle w:val="Compact"/>
              <w:jc w:val="right"/>
            </w:pPr>
            <w:r>
              <w:t xml:space="preserve">9,112,170</w:t>
            </w:r>
          </w:p>
        </w:tc>
        <w:tc>
          <w:tcPr/>
          <w:p>
            <w:pPr>
              <w:pStyle w:val="Compact"/>
              <w:jc w:val="right"/>
            </w:pPr>
            <w:r>
              <w:t xml:space="preserve">17.51</w:t>
            </w:r>
          </w:p>
        </w:tc>
      </w:tr>
      <w:tr>
        <w:tc>
          <w:tcPr/>
          <w:p>
            <w:pPr>
              <w:pStyle w:val="Compact"/>
              <w:jc w:val="left"/>
            </w:pPr>
            <w:r>
              <w:t xml:space="preserve">Soft Cost</w:t>
            </w:r>
          </w:p>
        </w:tc>
        <w:tc>
          <w:tcPr/>
          <w:p>
            <w:pPr>
              <w:pStyle w:val="Compact"/>
              <w:jc w:val="right"/>
            </w:pPr>
            <w:r>
              <w:t xml:space="preserve">7,649,430</w:t>
            </w:r>
          </w:p>
        </w:tc>
        <w:tc>
          <w:tcPr/>
          <w:p>
            <w:pPr>
              <w:pStyle w:val="Compact"/>
              <w:jc w:val="right"/>
            </w:pPr>
            <w:r>
              <w:t xml:space="preserve">28,480</w:t>
            </w:r>
          </w:p>
        </w:tc>
        <w:tc>
          <w:tcPr/>
          <w:p>
            <w:pPr>
              <w:pStyle w:val="Compact"/>
              <w:jc w:val="right"/>
            </w:pPr>
            <w:r>
              <w:t xml:space="preserve">227,690</w:t>
            </w:r>
          </w:p>
        </w:tc>
        <w:tc>
          <w:tcPr/>
          <w:p>
            <w:pPr>
              <w:pStyle w:val="Compact"/>
              <w:jc w:val="right"/>
            </w:pPr>
            <w:r>
              <w:t xml:space="preserve">0</w:t>
            </w:r>
          </w:p>
        </w:tc>
        <w:tc>
          <w:tcPr/>
          <w:p>
            <w:pPr>
              <w:pStyle w:val="Compact"/>
              <w:jc w:val="right"/>
            </w:pPr>
            <w:r>
              <w:t xml:space="preserve">7,905,600</w:t>
            </w:r>
          </w:p>
        </w:tc>
        <w:tc>
          <w:tcPr/>
          <w:p>
            <w:pPr>
              <w:pStyle w:val="Compact"/>
              <w:jc w:val="right"/>
            </w:pPr>
            <w:r>
              <w:t xml:space="preserve">15.20</w:t>
            </w:r>
          </w:p>
        </w:tc>
      </w:tr>
      <w:tr>
        <w:tc>
          <w:tcPr/>
          <w:p>
            <w:pPr>
              <w:pStyle w:val="Compact"/>
              <w:jc w:val="left"/>
            </w:pPr>
            <w:r>
              <w:t xml:space="preserve">Civil</w:t>
            </w:r>
          </w:p>
        </w:tc>
        <w:tc>
          <w:tcPr/>
          <w:p>
            <w:pPr>
              <w:pStyle w:val="Compact"/>
              <w:jc w:val="right"/>
            </w:pPr>
            <w:r>
              <w:t xml:space="preserve">5,652,030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5,652,030</w:t>
            </w:r>
          </w:p>
        </w:tc>
        <w:tc>
          <w:tcPr/>
          <w:p>
            <w:pPr>
              <w:pStyle w:val="Compact"/>
              <w:jc w:val="right"/>
            </w:pPr>
            <w:r>
              <w:t xml:space="preserve">10.86</w:t>
            </w:r>
          </w:p>
        </w:tc>
      </w:tr>
      <w:tr>
        <w:tc>
          <w:tcPr/>
          <w:p>
            <w:pPr>
              <w:pStyle w:val="Compact"/>
              <w:jc w:val="left"/>
            </w:pPr>
            <w:r>
              <w:t xml:space="preserve">Roof</w:t>
            </w:r>
          </w:p>
        </w:tc>
        <w:tc>
          <w:tcPr/>
          <w:p>
            <w:pPr>
              <w:pStyle w:val="Compact"/>
              <w:jc w:val="right"/>
            </w:pPr>
            <w:r>
              <w:t xml:space="preserve">1,057,030</w:t>
            </w:r>
          </w:p>
        </w:tc>
        <w:tc>
          <w:tcPr/>
          <w:p>
            <w:pPr>
              <w:pStyle w:val="Compact"/>
              <w:jc w:val="right"/>
            </w:pPr>
            <w:r>
              <w:t xml:space="preserve">0</w:t>
            </w:r>
          </w:p>
        </w:tc>
        <w:tc>
          <w:tcPr/>
          <w:p>
            <w:pPr>
              <w:pStyle w:val="Compact"/>
              <w:jc w:val="right"/>
            </w:pPr>
            <w:r>
              <w:t xml:space="preserve">410,070</w:t>
            </w:r>
          </w:p>
        </w:tc>
        <w:tc>
          <w:tcPr/>
          <w:p>
            <w:pPr>
              <w:pStyle w:val="Compact"/>
              <w:jc w:val="right"/>
            </w:pPr>
            <w:r>
              <w:t xml:space="preserve">3,902,460</w:t>
            </w:r>
          </w:p>
        </w:tc>
        <w:tc>
          <w:tcPr/>
          <w:p>
            <w:pPr>
              <w:pStyle w:val="Compact"/>
              <w:jc w:val="right"/>
            </w:pPr>
            <w:r>
              <w:t xml:space="preserve">5,369,560</w:t>
            </w:r>
          </w:p>
        </w:tc>
        <w:tc>
          <w:tcPr/>
          <w:p>
            <w:pPr>
              <w:pStyle w:val="Compact"/>
              <w:jc w:val="right"/>
            </w:pPr>
            <w:r>
              <w:t xml:space="preserve">10.32</w:t>
            </w:r>
          </w:p>
        </w:tc>
      </w:tr>
      <w:tr>
        <w:tc>
          <w:tcPr/>
          <w:p>
            <w:pPr>
              <w:pStyle w:val="Compact"/>
              <w:jc w:val="left"/>
            </w:pPr>
            <w:r>
              <w:t xml:space="preserve">Electrical</w:t>
            </w:r>
          </w:p>
        </w:tc>
        <w:tc>
          <w:tcPr/>
          <w:p>
            <w:pPr>
              <w:pStyle w:val="Compact"/>
              <w:jc w:val="right"/>
            </w:pPr>
            <w:r>
              <w:t xml:space="preserve">1,711,160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3,376,710</w:t>
            </w:r>
          </w:p>
        </w:tc>
        <w:tc>
          <w:tcPr/>
          <w:p>
            <w:pPr>
              <w:pStyle w:val="Compact"/>
              <w:jc w:val="right"/>
            </w:pPr>
            <w:r>
              <w:t xml:space="preserve">5,087,870</w:t>
            </w:r>
          </w:p>
        </w:tc>
        <w:tc>
          <w:tcPr/>
          <w:p>
            <w:pPr>
              <w:pStyle w:val="Compact"/>
              <w:jc w:val="right"/>
            </w:pPr>
            <w:r>
              <w:t xml:space="preserve">9.78</w:t>
            </w:r>
          </w:p>
        </w:tc>
      </w:tr>
      <w:tr>
        <w:tc>
          <w:tcPr/>
          <w:p>
            <w:pPr>
              <w:pStyle w:val="Compact"/>
              <w:jc w:val="left"/>
            </w:pPr>
            <w:r>
              <w:t xml:space="preserve">Miscellaneous</w:t>
            </w:r>
          </w:p>
        </w:tc>
        <w:tc>
          <w:tcPr/>
          <w:p>
            <w:pPr>
              <w:pStyle w:val="Compact"/>
              <w:jc w:val="right"/>
            </w:pPr>
            <w:r>
              <w:t xml:space="preserve">3,384,050</w:t>
            </w:r>
          </w:p>
        </w:tc>
        <w:tc>
          <w:tcPr/>
          <w:p>
            <w:pPr>
              <w:pStyle w:val="Compact"/>
              <w:jc w:val="right"/>
            </w:pPr>
            <w:r>
              <w:t xml:space="preserve">212,750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3,596,800</w:t>
            </w:r>
          </w:p>
        </w:tc>
        <w:tc>
          <w:tcPr/>
          <w:p>
            <w:pPr>
              <w:pStyle w:val="Compact"/>
              <w:jc w:val="right"/>
            </w:pPr>
            <w:r>
              <w:t xml:space="preserve">6.91</w:t>
            </w:r>
          </w:p>
        </w:tc>
      </w:tr>
      <w:tr>
        <w:tc>
          <w:tcPr/>
          <w:p>
            <w:pPr>
              <w:pStyle w:val="Compact"/>
              <w:jc w:val="left"/>
            </w:pPr>
            <w:r>
              <w:t xml:space="preserve">Architectural</w:t>
            </w:r>
          </w:p>
        </w:tc>
        <w:tc>
          <w:tcPr/>
          <w:p>
            <w:pPr>
              <w:pStyle w:val="Compact"/>
              <w:jc w:val="right"/>
            </w:pPr>
            <w:r>
              <w:t xml:space="preserve">1,341,300</w:t>
            </w:r>
          </w:p>
        </w:tc>
        <w:tc>
          <w:tcPr/>
          <w:p>
            <w:pPr>
              <w:pStyle w:val="Compact"/>
              <w:jc w:val="right"/>
            </w:pPr>
            <w:r>
              <w:t xml:space="preserve">250,610</w:t>
            </w:r>
          </w:p>
        </w:tc>
        <w:tc>
          <w:tcPr/>
          <w:p>
            <w:pPr>
              <w:pStyle w:val="Compact"/>
              <w:jc w:val="right"/>
            </w:pPr>
            <w:r>
              <w:t xml:space="preserve">377,330</w:t>
            </w:r>
          </w:p>
        </w:tc>
        <w:tc>
          <w:tcPr/>
          <w:p>
            <w:pPr>
              <w:pStyle w:val="Compact"/>
              <w:jc w:val="right"/>
            </w:pPr>
            <w:r>
              <w:t xml:space="preserve">1,055,710</w:t>
            </w:r>
          </w:p>
        </w:tc>
        <w:tc>
          <w:tcPr/>
          <w:p>
            <w:pPr>
              <w:pStyle w:val="Compact"/>
              <w:jc w:val="right"/>
            </w:pPr>
            <w:r>
              <w:t xml:space="preserve">3,024,950</w:t>
            </w:r>
          </w:p>
        </w:tc>
        <w:tc>
          <w:tcPr/>
          <w:p>
            <w:pPr>
              <w:pStyle w:val="Compact"/>
              <w:jc w:val="right"/>
            </w:pPr>
            <w:r>
              <w:t xml:space="preserve">5.81</w:t>
            </w:r>
          </w:p>
        </w:tc>
      </w:tr>
      <w:tr>
        <w:tc>
          <w:tcPr/>
          <w:p>
            <w:pPr>
              <w:pStyle w:val="Compact"/>
              <w:jc w:val="left"/>
            </w:pPr>
            <w:r>
              <w:t xml:space="preserve">Building</w:t>
            </w:r>
          </w:p>
        </w:tc>
        <w:tc>
          <w:tcPr/>
          <w:p>
            <w:pPr>
              <w:pStyle w:val="Compact"/>
              <w:jc w:val="right"/>
            </w:pPr>
            <w:r>
              <w:t xml:space="preserve">0</w:t>
            </w:r>
          </w:p>
        </w:tc>
        <w:tc>
          <w:tcPr/>
          <w:p>
            <w:pPr>
              <w:pStyle w:val="Compact"/>
              <w:jc w:val="right"/>
            </w:pPr>
            <w:r>
              <w:t xml:space="preserve">0</w:t>
            </w:r>
          </w:p>
        </w:tc>
        <w:tc>
          <w:tcPr/>
          <w:p>
            <w:pPr>
              <w:pStyle w:val="Compact"/>
              <w:jc w:val="right"/>
            </w:pPr>
            <w:r>
              <w:t xml:space="preserve">917,970</w:t>
            </w:r>
          </w:p>
        </w:tc>
        <w:tc>
          <w:tcPr/>
          <w:p>
            <w:pPr>
              <w:pStyle w:val="Compact"/>
              <w:jc w:val="right"/>
            </w:pPr>
            <w:r>
              <w:t xml:space="preserve">0</w:t>
            </w:r>
          </w:p>
        </w:tc>
        <w:tc>
          <w:tcPr/>
          <w:p>
            <w:pPr>
              <w:pStyle w:val="Compact"/>
              <w:jc w:val="right"/>
            </w:pPr>
            <w:r>
              <w:t xml:space="preserve">917,970</w:t>
            </w:r>
          </w:p>
        </w:tc>
        <w:tc>
          <w:tcPr/>
          <w:p>
            <w:pPr>
              <w:pStyle w:val="Compact"/>
              <w:jc w:val="right"/>
            </w:pPr>
            <w:r>
              <w:t xml:space="preserve">1.76</w:t>
            </w:r>
          </w:p>
        </w:tc>
      </w:tr>
      <w:tr>
        <w:tc>
          <w:tcPr/>
          <w:p>
            <w:pPr>
              <w:pStyle w:val="Compact"/>
              <w:jc w:val="left"/>
            </w:pPr>
            <w:r>
              <w:t xml:space="preserve">Fire Protection</w:t>
            </w:r>
          </w:p>
        </w:tc>
        <w:tc>
          <w:tcPr/>
          <w:p>
            <w:pPr>
              <w:pStyle w:val="Compact"/>
              <w:jc w:val="right"/>
            </w:pPr>
            <w:r>
              <w:t xml:space="preserve">858,290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858,290</w:t>
            </w:r>
          </w:p>
        </w:tc>
        <w:tc>
          <w:tcPr/>
          <w:p>
            <w:pPr>
              <w:pStyle w:val="Compact"/>
              <w:jc w:val="right"/>
            </w:pPr>
            <w:r>
              <w:t xml:space="preserve">1.65</w:t>
            </w:r>
          </w:p>
        </w:tc>
      </w:tr>
      <w:tr>
        <w:tc>
          <w:tcPr/>
          <w:p>
            <w:pPr>
              <w:pStyle w:val="Compact"/>
              <w:jc w:val="left"/>
            </w:pPr>
            <w:r>
              <w:t xml:space="preserve">Plumbing</w:t>
            </w:r>
          </w:p>
        </w:tc>
        <w:tc>
          <w:tcPr/>
          <w:p>
            <w:pPr>
              <w:pStyle w:val="Compact"/>
              <w:jc w:val="right"/>
            </w:pPr>
            <w:r>
              <w:t xml:space="preserve">251,530</w:t>
            </w:r>
          </w:p>
        </w:tc>
        <w:tc>
          <w:tcPr/>
          <w:p>
            <w:pPr>
              <w:pStyle w:val="Compact"/>
              <w:jc w:val="right"/>
            </w:pPr>
            <w:r>
              <w:t xml:space="preserve">30,330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281,860</w:t>
            </w:r>
          </w:p>
        </w:tc>
        <w:tc>
          <w:tcPr/>
          <w:p>
            <w:pPr>
              <w:pStyle w:val="Compact"/>
              <w:jc w:val="right"/>
            </w:pPr>
            <w:r>
              <w:t xml:space="preserve">0.54</w:t>
            </w:r>
          </w:p>
        </w:tc>
      </w:tr>
      <w:tr>
        <w:tc>
          <w:tcPr/>
          <w:p>
            <w:pPr>
              <w:pStyle w:val="Compact"/>
              <w:jc w:val="left"/>
            </w:pPr>
            <w:r>
              <w:t xml:space="preserve">Environmental</w:t>
            </w:r>
          </w:p>
        </w:tc>
        <w:tc>
          <w:tcPr/>
          <w:p>
            <w:pPr>
              <w:pStyle w:val="Compact"/>
              <w:jc w:val="right"/>
            </w:pPr>
            <w:r>
              <w:t xml:space="preserve">130,000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130,000</w:t>
            </w:r>
          </w:p>
        </w:tc>
        <w:tc>
          <w:tcPr/>
          <w:p>
            <w:pPr>
              <w:pStyle w:val="Compact"/>
              <w:jc w:val="right"/>
            </w:pPr>
            <w:r>
              <w:t xml:space="preserve">0.25</w:t>
            </w:r>
          </w:p>
        </w:tc>
      </w:tr>
      <w:tr>
        <w:tc>
          <w:tcPr/>
          <w:p>
            <w:pPr>
              <w:pStyle w:val="Compact"/>
              <w:jc w:val="left"/>
            </w:pPr>
            <w:r>
              <w:t xml:space="preserve">All Disciplines</w:t>
            </w:r>
          </w:p>
        </w:tc>
        <w:tc>
          <w:tcPr/>
          <w:p>
            <w:pPr>
              <w:pStyle w:val="Compact"/>
              <w:jc w:val="right"/>
            </w:pPr>
            <w:r>
              <w:t xml:space="preserve">23,190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23,190</w:t>
            </w:r>
          </w:p>
        </w:tc>
        <w:tc>
          <w:tcPr/>
          <w:p>
            <w:pPr>
              <w:pStyle w:val="Compact"/>
              <w:jc w:val="right"/>
            </w:pPr>
            <w:r>
              <w:t xml:space="preserve">0.04</w:t>
            </w:r>
          </w:p>
        </w:tc>
      </w:tr>
      <w:tr>
        <w:tc>
          <w:tcPr/>
          <w:p>
            <w:pPr>
              <w:pStyle w:val="Compact"/>
              <w:jc w:val="left"/>
            </w:pPr>
            <w:r>
              <w:t xml:space="preserve">Total</w:t>
            </w:r>
          </w:p>
        </w:tc>
        <w:tc>
          <w:tcPr/>
          <w:p>
            <w:pPr>
              <w:pStyle w:val="Compact"/>
              <w:jc w:val="right"/>
            </w:pPr>
            <w:r>
              <w:t xml:space="preserve">32,885,660</w:t>
            </w:r>
          </w:p>
        </w:tc>
        <w:tc>
          <w:tcPr/>
          <w:p>
            <w:pPr>
              <w:pStyle w:val="Compact"/>
              <w:jc w:val="right"/>
            </w:pPr>
            <w:r>
              <w:t xml:space="preserve">3,170,330</w:t>
            </w:r>
          </w:p>
        </w:tc>
        <w:tc>
          <w:tcPr/>
          <w:p>
            <w:pPr>
              <w:pStyle w:val="Compact"/>
              <w:jc w:val="right"/>
            </w:pPr>
            <w:r>
              <w:t xml:space="preserve">2,500,420</w:t>
            </w:r>
          </w:p>
        </w:tc>
        <w:tc>
          <w:tcPr/>
          <w:p>
            <w:pPr>
              <w:pStyle w:val="Compact"/>
              <w:jc w:val="right"/>
            </w:pPr>
            <w:r>
              <w:t xml:space="preserve">13,471,130</w:t>
            </w:r>
          </w:p>
        </w:tc>
        <w:tc>
          <w:tcPr/>
          <w:p>
            <w:pPr>
              <w:pStyle w:val="Compact"/>
              <w:jc w:val="right"/>
            </w:pPr>
            <w:r>
              <w:t xml:space="preserve">52,027,540</w:t>
            </w:r>
          </w:p>
        </w:tc>
        <w:tc>
          <w:tcPr/>
          <w:p>
            <w:pPr>
              <w:pStyle w:val="Compact"/>
              <w:jc w:val="right"/>
            </w:pPr>
            <w:r>
              <w:t xml:space="preserve">100.00</w:t>
            </w:r>
          </w:p>
        </w:tc>
      </w:tr>
    </w:tbl>
    <w:p>
      <w:pPr>
        <w:pStyle w:val="BodyText"/>
      </w:pPr>
      <w:r>
        <w:t xml:space="preserve">As can be seen from the summary table, the largest contribution to the CAPEX under immediate term is approximately $10 millions out of nearly $ 33 millions, followings are Soft Cost (Engineering Management) and cost allocated for civil works. Contribution to the cost of structural upgrade will be described in later section.</w:t>
      </w:r>
    </w:p>
    <w:p>
      <w:pPr>
        <w:pStyle w:val="BodyText"/>
      </w:pPr>
      <w:r>
        <w:t xml:space="preserve">Soft Cost includes 5% of permitting, 10% of preliminary preparation and engineering management, 10% of contingency. These costs are redistributed per facilities.</w:t>
      </w:r>
    </w:p>
    <w:p>
      <w:pPr>
        <w:pStyle w:val="BodyText"/>
      </w:pPr>
      <w:r>
        <w:t xml:space="preserve">Miscellaneous are items that cannot be quantified precisely such as minor repair, door replacement, annual inspection of fire protection assets, renewal of fire protection and safety devices, tightening materials like bolts and screws, and items that were not foreseen by only visual eye inspection. We have allocated costs for such items based on average percentage, ranging from 5% to 15% of the CAPEX, depending on types of facilities.</w:t>
      </w:r>
    </w:p>
    <w:p>
      <w:pPr>
        <w:pStyle w:val="BodyText"/>
      </w:pPr>
      <w:r>
        <w:t xml:space="preserve">Graphical representation of the yearly distribution can be seen in Figure</w:t>
      </w:r>
      <w:r>
        <w:t xml:space="preserve"> </w:t>
      </w:r>
      <w:r>
        <w:t xml:space="preserve">11</w:t>
      </w:r>
    </w:p>
    <w:p>
      <w:pPr>
        <w:pStyle w:val="CaptionedFigure"/>
      </w:pPr>
      <w:r>
        <w:drawing>
          <wp:inline>
            <wp:extent cx="5943600" cy="3566160"/>
            <wp:effectExtent b="0" l="0" r="0" t="0"/>
            <wp:docPr descr="Figure 11: Yearly Distribution of CAPEX - Disciplines" title="" id="1" name="Picture"/>
            <a:graphic>
              <a:graphicData uri="http://schemas.openxmlformats.org/drawingml/2006/picture">
                <pic:pic>
                  <pic:nvPicPr>
                    <pic:cNvPr descr="../visuals/plot01.png" id="0" name="Picture"/>
                    <pic:cNvPicPr>
                      <a:picLocks noChangeArrowheads="1" noChangeAspect="1"/>
                    </pic:cNvPicPr>
                  </pic:nvPicPr>
                  <pic:blipFill>
                    <a:blip r:embed="rId66"/>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11: Yearly Distribution of CAPEX - Disciplines</w:t>
      </w:r>
    </w:p>
    <w:p>
      <w:pPr>
        <w:pStyle w:val="BodyText"/>
      </w:pPr>
      <w:r>
        <w:t xml:space="preserve">Tables</w:t>
      </w:r>
      <w:r>
        <w:t xml:space="preserve"> </w:t>
      </w:r>
      <w:r>
        <w:t xml:space="preserve">7</w:t>
      </w:r>
      <w:r>
        <w:t xml:space="preserve"> </w:t>
      </w:r>
      <w:r>
        <w:t xml:space="preserve">presents the yearly distribution of CAPEX under each area.</w:t>
      </w:r>
    </w:p>
    <w:p>
      <w:pPr>
        <w:pStyle w:val="TableCaption"/>
      </w:pPr>
      <w:r>
        <w:t xml:space="preserve">Table 7: Yearly CAPEX Distribution - Area</w:t>
      </w:r>
    </w:p>
    <w:tbl>
      <w:tblPr>
        <w:tblStyle w:val="Table"/>
        <w:tblW w:type="pct" w:w="5000"/>
        <w:tblLook w:firstRow="1" w:lastRow="0" w:firstColumn="0" w:lastColumn="0" w:noHBand="0" w:noVBand="0" w:val="0020"/>
        <w:tblCaption w:val="Table 7: Yearly CAPEX Distribution - Area"/>
      </w:tblPr>
      <w:tblGrid>
        <w:gridCol w:w="782"/>
        <w:gridCol w:w="1271"/>
        <w:gridCol w:w="1173"/>
        <w:gridCol w:w="1271"/>
        <w:gridCol w:w="1271"/>
        <w:gridCol w:w="1271"/>
        <w:gridCol w:w="880"/>
      </w:tblGrid>
      <w:tr>
        <w:trPr>
          <w:tblHeader w:val="true"/>
        </w:trPr>
        <w:tc>
          <w:tcPr/>
          <w:p>
            <w:pPr>
              <w:pStyle w:val="Compact"/>
              <w:jc w:val="left"/>
            </w:pPr>
            <w:r>
              <w:t xml:space="preserve">Area</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SY</w:t>
            </w:r>
          </w:p>
        </w:tc>
        <w:tc>
          <w:tcPr/>
          <w:p>
            <w:pPr>
              <w:pStyle w:val="Compact"/>
              <w:jc w:val="right"/>
            </w:pPr>
            <w:r>
              <w:t xml:space="preserve">19,683,150</w:t>
            </w:r>
          </w:p>
        </w:tc>
        <w:tc>
          <w:tcPr/>
          <w:p>
            <w:pPr>
              <w:pStyle w:val="Compact"/>
              <w:jc w:val="right"/>
            </w:pPr>
            <w:r>
              <w:t xml:space="preserve">1,831,330</w:t>
            </w:r>
          </w:p>
        </w:tc>
        <w:tc>
          <w:tcPr/>
          <w:p>
            <w:pPr>
              <w:pStyle w:val="Compact"/>
              <w:jc w:val="right"/>
            </w:pPr>
            <w:r>
              <w:t xml:space="preserve">1,616,250</w:t>
            </w:r>
          </w:p>
        </w:tc>
        <w:tc>
          <w:tcPr/>
          <w:p>
            <w:pPr>
              <w:pStyle w:val="Compact"/>
              <w:jc w:val="right"/>
            </w:pPr>
            <w:r>
              <w:t xml:space="preserve">7,663,500</w:t>
            </w:r>
          </w:p>
        </w:tc>
        <w:tc>
          <w:tcPr/>
          <w:p>
            <w:pPr>
              <w:pStyle w:val="Compact"/>
              <w:jc w:val="right"/>
            </w:pPr>
            <w:r>
              <w:t xml:space="preserve">30,794,230</w:t>
            </w:r>
          </w:p>
        </w:tc>
        <w:tc>
          <w:tcPr/>
          <w:p>
            <w:pPr>
              <w:pStyle w:val="Compact"/>
              <w:jc w:val="right"/>
            </w:pPr>
            <w:r>
              <w:t xml:space="preserve">59.19</w:t>
            </w:r>
          </w:p>
        </w:tc>
      </w:tr>
      <w:tr>
        <w:tc>
          <w:tcPr/>
          <w:p>
            <w:pPr>
              <w:pStyle w:val="Compact"/>
              <w:jc w:val="left"/>
            </w:pPr>
            <w:r>
              <w:t xml:space="preserve">NY</w:t>
            </w:r>
          </w:p>
        </w:tc>
        <w:tc>
          <w:tcPr/>
          <w:p>
            <w:pPr>
              <w:pStyle w:val="Compact"/>
              <w:jc w:val="right"/>
            </w:pPr>
            <w:r>
              <w:t xml:space="preserve">6,233,190</w:t>
            </w:r>
          </w:p>
        </w:tc>
        <w:tc>
          <w:tcPr/>
          <w:p>
            <w:pPr>
              <w:pStyle w:val="Compact"/>
              <w:jc w:val="right"/>
            </w:pPr>
            <w:r>
              <w:t xml:space="preserve">1,339,000</w:t>
            </w:r>
          </w:p>
        </w:tc>
        <w:tc>
          <w:tcPr/>
          <w:p>
            <w:pPr>
              <w:pStyle w:val="Compact"/>
              <w:jc w:val="right"/>
            </w:pPr>
            <w:r>
              <w:t xml:space="preserve">884,170</w:t>
            </w:r>
          </w:p>
        </w:tc>
        <w:tc>
          <w:tcPr/>
          <w:p>
            <w:pPr>
              <w:pStyle w:val="Compact"/>
              <w:jc w:val="right"/>
            </w:pPr>
            <w:r>
              <w:t xml:space="preserve">5,807,630</w:t>
            </w:r>
          </w:p>
        </w:tc>
        <w:tc>
          <w:tcPr/>
          <w:p>
            <w:pPr>
              <w:pStyle w:val="Compact"/>
              <w:jc w:val="right"/>
            </w:pPr>
            <w:r>
              <w:t xml:space="preserve">14,263,990</w:t>
            </w:r>
          </w:p>
        </w:tc>
        <w:tc>
          <w:tcPr/>
          <w:p>
            <w:pPr>
              <w:pStyle w:val="Compact"/>
              <w:jc w:val="right"/>
            </w:pPr>
            <w:r>
              <w:t xml:space="preserve">27.42</w:t>
            </w:r>
          </w:p>
        </w:tc>
      </w:tr>
      <w:tr>
        <w:tc>
          <w:tcPr/>
          <w:p>
            <w:pPr>
              <w:pStyle w:val="Compact"/>
              <w:jc w:val="left"/>
            </w:pPr>
            <w:r>
              <w:t xml:space="preserve">NY+SY</w:t>
            </w:r>
          </w:p>
        </w:tc>
        <w:tc>
          <w:tcPr/>
          <w:p>
            <w:pPr>
              <w:pStyle w:val="Compact"/>
              <w:jc w:val="right"/>
            </w:pPr>
            <w:r>
              <w:t xml:space="preserve">6,969,320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6,969,320</w:t>
            </w:r>
          </w:p>
        </w:tc>
        <w:tc>
          <w:tcPr/>
          <w:p>
            <w:pPr>
              <w:pStyle w:val="Compact"/>
              <w:jc w:val="right"/>
            </w:pPr>
            <w:r>
              <w:t xml:space="preserve">13.40</w:t>
            </w:r>
          </w:p>
        </w:tc>
      </w:tr>
      <w:tr>
        <w:tc>
          <w:tcPr/>
          <w:p>
            <w:pPr>
              <w:pStyle w:val="Compact"/>
              <w:jc w:val="left"/>
            </w:pPr>
            <w:r>
              <w:t xml:space="preserve">Total</w:t>
            </w:r>
          </w:p>
        </w:tc>
        <w:tc>
          <w:tcPr/>
          <w:p>
            <w:pPr>
              <w:pStyle w:val="Compact"/>
              <w:jc w:val="right"/>
            </w:pPr>
            <w:r>
              <w:t xml:space="preserve">32,885,660</w:t>
            </w:r>
          </w:p>
        </w:tc>
        <w:tc>
          <w:tcPr/>
          <w:p>
            <w:pPr>
              <w:pStyle w:val="Compact"/>
              <w:jc w:val="right"/>
            </w:pPr>
            <w:r>
              <w:t xml:space="preserve">3,170,330</w:t>
            </w:r>
          </w:p>
        </w:tc>
        <w:tc>
          <w:tcPr/>
          <w:p>
            <w:pPr>
              <w:pStyle w:val="Compact"/>
              <w:jc w:val="right"/>
            </w:pPr>
            <w:r>
              <w:t xml:space="preserve">2,500,420</w:t>
            </w:r>
          </w:p>
        </w:tc>
        <w:tc>
          <w:tcPr/>
          <w:p>
            <w:pPr>
              <w:pStyle w:val="Compact"/>
              <w:jc w:val="right"/>
            </w:pPr>
            <w:r>
              <w:t xml:space="preserve">13,471,130</w:t>
            </w:r>
          </w:p>
        </w:tc>
        <w:tc>
          <w:tcPr/>
          <w:p>
            <w:pPr>
              <w:pStyle w:val="Compact"/>
              <w:jc w:val="right"/>
            </w:pPr>
            <w:r>
              <w:t xml:space="preserve">52,027,540</w:t>
            </w:r>
          </w:p>
        </w:tc>
        <w:tc>
          <w:tcPr/>
          <w:p>
            <w:pPr>
              <w:pStyle w:val="Compact"/>
              <w:jc w:val="right"/>
            </w:pPr>
            <w:r>
              <w:t xml:space="preserve">100.00</w:t>
            </w:r>
          </w:p>
        </w:tc>
      </w:tr>
    </w:tbl>
    <w:p>
      <w:pPr>
        <w:pStyle w:val="BodyText"/>
      </w:pPr>
      <w:r>
        <w:t xml:space="preserve">As can be seen from the table, about 60% of the cost is allocated for South Yard (approximate $20 millions). Under immediate term, total CAPEX for the South Yard is approximately $20 million. Further distribution of yearly CAPEX can be referred to Figure</w:t>
      </w:r>
      <w:r>
        <w:t xml:space="preserve"> </w:t>
      </w:r>
      <w:r>
        <w:t xml:space="preserve">12</w:t>
      </w:r>
      <w:r>
        <w:t xml:space="preserve"> </w:t>
      </w:r>
      <w:r>
        <w:t xml:space="preserve">and the provided CAPEX tidy dataset.</w:t>
      </w:r>
    </w:p>
    <w:p>
      <w:pPr>
        <w:pStyle w:val="CaptionedFigure"/>
      </w:pPr>
      <w:r>
        <w:drawing>
          <wp:inline>
            <wp:extent cx="5943600" cy="3566160"/>
            <wp:effectExtent b="0" l="0" r="0" t="0"/>
            <wp:docPr descr="Figure 12: Yearly Distribution of CAPEX - Areas" title="" id="1" name="Picture"/>
            <a:graphic>
              <a:graphicData uri="http://schemas.openxmlformats.org/drawingml/2006/picture">
                <pic:pic>
                  <pic:nvPicPr>
                    <pic:cNvPr descr="../visuals/plot02.png" id="0" name="Picture"/>
                    <pic:cNvPicPr>
                      <a:picLocks noChangeArrowheads="1" noChangeAspect="1"/>
                    </pic:cNvPicPr>
                  </pic:nvPicPr>
                  <pic:blipFill>
                    <a:blip r:embed="rId67"/>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12: Yearly Distribution of CAPEX - Areas</w:t>
      </w:r>
    </w:p>
    <w:p>
      <w:pPr>
        <w:pStyle w:val="BodyText"/>
      </w:pPr>
      <w:r>
        <w:t xml:space="preserve">Tables</w:t>
      </w:r>
      <w:r>
        <w:t xml:space="preserve"> </w:t>
      </w:r>
      <w:r>
        <w:t xml:space="preserve">8</w:t>
      </w:r>
      <w:r>
        <w:t xml:space="preserve"> </w:t>
      </w:r>
      <w:r>
        <w:t xml:space="preserve">presents the yearly distribution of CAPEX under each tenant.</w:t>
      </w:r>
    </w:p>
    <w:p>
      <w:pPr>
        <w:pStyle w:val="TableCaption"/>
      </w:pPr>
      <w:r>
        <w:t xml:space="preserve">Table 8: Yearly CAPEX Distribution - Tenant</w:t>
      </w:r>
    </w:p>
    <w:tbl>
      <w:tblPr>
        <w:tblStyle w:val="Table"/>
        <w:tblW w:type="pct" w:w="5000"/>
        <w:tblLook w:firstRow="1" w:lastRow="0" w:firstColumn="0" w:lastColumn="0" w:noHBand="0" w:noVBand="0" w:val="0020"/>
        <w:tblCaption w:val="Table 8: Yearly CAPEX Distribution - Tenant"/>
      </w:tblPr>
      <w:tblGrid>
        <w:gridCol w:w="1037"/>
        <w:gridCol w:w="1225"/>
        <w:gridCol w:w="1131"/>
        <w:gridCol w:w="1225"/>
        <w:gridCol w:w="1225"/>
        <w:gridCol w:w="1225"/>
        <w:gridCol w:w="848"/>
      </w:tblGrid>
      <w:tr>
        <w:trPr>
          <w:tblHeader w:val="true"/>
        </w:trPr>
        <w:tc>
          <w:tcPr/>
          <w:p>
            <w:pPr>
              <w:pStyle w:val="Compact"/>
              <w:jc w:val="left"/>
            </w:pPr>
            <w:r>
              <w:t xml:space="preserve">Tenant</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Austal</w:t>
            </w:r>
          </w:p>
        </w:tc>
        <w:tc>
          <w:tcPr/>
          <w:p>
            <w:pPr>
              <w:pStyle w:val="Compact"/>
              <w:jc w:val="right"/>
            </w:pPr>
            <w:r>
              <w:t xml:space="preserve">8,436,320</w:t>
            </w:r>
          </w:p>
        </w:tc>
        <w:tc>
          <w:tcPr/>
          <w:p>
            <w:pPr>
              <w:pStyle w:val="Compact"/>
              <w:jc w:val="right"/>
            </w:pPr>
            <w:r>
              <w:t xml:space="preserve">945,930</w:t>
            </w:r>
          </w:p>
        </w:tc>
        <w:tc>
          <w:tcPr/>
          <w:p>
            <w:pPr>
              <w:pStyle w:val="Compact"/>
              <w:jc w:val="right"/>
            </w:pPr>
            <w:r>
              <w:t xml:space="preserve">1,399,020</w:t>
            </w:r>
          </w:p>
        </w:tc>
        <w:tc>
          <w:tcPr/>
          <w:p>
            <w:pPr>
              <w:pStyle w:val="Compact"/>
              <w:jc w:val="right"/>
            </w:pPr>
            <w:r>
              <w:t xml:space="preserve">3,979,950</w:t>
            </w:r>
          </w:p>
        </w:tc>
        <w:tc>
          <w:tcPr/>
          <w:p>
            <w:pPr>
              <w:pStyle w:val="Compact"/>
              <w:jc w:val="right"/>
            </w:pPr>
            <w:r>
              <w:t xml:space="preserve">14,761,220</w:t>
            </w:r>
          </w:p>
        </w:tc>
        <w:tc>
          <w:tcPr/>
          <w:p>
            <w:pPr>
              <w:pStyle w:val="Compact"/>
              <w:jc w:val="right"/>
            </w:pPr>
            <w:r>
              <w:t xml:space="preserve">28.37</w:t>
            </w:r>
          </w:p>
        </w:tc>
      </w:tr>
      <w:tr>
        <w:tc>
          <w:tcPr/>
          <w:p>
            <w:pPr>
              <w:pStyle w:val="Compact"/>
              <w:jc w:val="left"/>
            </w:pPr>
            <w:r>
              <w:t xml:space="preserve">Navy</w:t>
            </w:r>
          </w:p>
        </w:tc>
        <w:tc>
          <w:tcPr/>
          <w:p>
            <w:pPr>
              <w:pStyle w:val="Compact"/>
              <w:jc w:val="right"/>
            </w:pPr>
            <w:r>
              <w:t xml:space="preserve">6,294,240</w:t>
            </w:r>
          </w:p>
        </w:tc>
        <w:tc>
          <w:tcPr/>
          <w:p>
            <w:pPr>
              <w:pStyle w:val="Compact"/>
              <w:jc w:val="right"/>
            </w:pPr>
            <w:r>
              <w:t xml:space="preserve">1,241,260</w:t>
            </w:r>
          </w:p>
        </w:tc>
        <w:tc>
          <w:tcPr/>
          <w:p>
            <w:pPr>
              <w:pStyle w:val="Compact"/>
              <w:jc w:val="right"/>
            </w:pPr>
            <w:r>
              <w:t xml:space="preserve">868,330</w:t>
            </w:r>
          </w:p>
        </w:tc>
        <w:tc>
          <w:tcPr/>
          <w:p>
            <w:pPr>
              <w:pStyle w:val="Compact"/>
              <w:jc w:val="right"/>
            </w:pPr>
            <w:r>
              <w:t xml:space="preserve">5,683,620</w:t>
            </w:r>
          </w:p>
        </w:tc>
        <w:tc>
          <w:tcPr/>
          <w:p>
            <w:pPr>
              <w:pStyle w:val="Compact"/>
              <w:jc w:val="right"/>
            </w:pPr>
            <w:r>
              <w:t xml:space="preserve">14,087,450</w:t>
            </w:r>
          </w:p>
        </w:tc>
        <w:tc>
          <w:tcPr/>
          <w:p>
            <w:pPr>
              <w:pStyle w:val="Compact"/>
              <w:jc w:val="right"/>
            </w:pPr>
            <w:r>
              <w:t xml:space="preserve">27.08</w:t>
            </w:r>
          </w:p>
        </w:tc>
      </w:tr>
      <w:tr>
        <w:tc>
          <w:tcPr/>
          <w:p>
            <w:pPr>
              <w:pStyle w:val="Compact"/>
              <w:jc w:val="left"/>
            </w:pPr>
            <w:r>
              <w:t xml:space="preserve">Dock 6</w:t>
            </w:r>
          </w:p>
        </w:tc>
        <w:tc>
          <w:tcPr/>
          <w:p>
            <w:pPr>
              <w:pStyle w:val="Compact"/>
              <w:jc w:val="right"/>
            </w:pPr>
            <w:r>
              <w:t xml:space="preserve">7,818,070</w:t>
            </w:r>
          </w:p>
        </w:tc>
        <w:tc>
          <w:tcPr/>
          <w:p>
            <w:pPr>
              <w:pStyle w:val="Compact"/>
              <w:jc w:val="right"/>
            </w:pPr>
            <w:r>
              <w:t xml:space="preserve">909,520</w:t>
            </w:r>
          </w:p>
        </w:tc>
        <w:tc>
          <w:tcPr/>
          <w:p>
            <w:pPr>
              <w:pStyle w:val="Compact"/>
              <w:jc w:val="right"/>
            </w:pPr>
            <w:r>
              <w:t xml:space="preserve">75,660</w:t>
            </w:r>
          </w:p>
        </w:tc>
        <w:tc>
          <w:tcPr/>
          <w:p>
            <w:pPr>
              <w:pStyle w:val="Compact"/>
              <w:jc w:val="right"/>
            </w:pPr>
            <w:r>
              <w:t xml:space="preserve">3,288,150</w:t>
            </w:r>
          </w:p>
        </w:tc>
        <w:tc>
          <w:tcPr/>
          <w:p>
            <w:pPr>
              <w:pStyle w:val="Compact"/>
              <w:jc w:val="right"/>
            </w:pPr>
            <w:r>
              <w:t xml:space="preserve">12,091,400</w:t>
            </w:r>
          </w:p>
        </w:tc>
        <w:tc>
          <w:tcPr/>
          <w:p>
            <w:pPr>
              <w:pStyle w:val="Compact"/>
              <w:jc w:val="right"/>
            </w:pPr>
            <w:r>
              <w:t xml:space="preserve">23.24</w:t>
            </w:r>
          </w:p>
        </w:tc>
      </w:tr>
      <w:tr>
        <w:tc>
          <w:tcPr/>
          <w:p>
            <w:pPr>
              <w:pStyle w:val="Compact"/>
              <w:jc w:val="left"/>
            </w:pPr>
            <w:r>
              <w:t xml:space="preserve">JV</w:t>
            </w:r>
          </w:p>
        </w:tc>
        <w:tc>
          <w:tcPr/>
          <w:p>
            <w:pPr>
              <w:pStyle w:val="Compact"/>
              <w:jc w:val="right"/>
            </w:pPr>
            <w:r>
              <w:t xml:space="preserve">7,472,850</w:t>
            </w:r>
          </w:p>
        </w:tc>
        <w:tc>
          <w:tcPr/>
          <w:p>
            <w:pPr>
              <w:pStyle w:val="Compact"/>
              <w:jc w:val="right"/>
            </w:pPr>
            <w:r>
              <w:t xml:space="preserve">43,620</w:t>
            </w:r>
          </w:p>
        </w:tc>
        <w:tc>
          <w:tcPr/>
          <w:p>
            <w:pPr>
              <w:pStyle w:val="Compact"/>
              <w:jc w:val="right"/>
            </w:pPr>
            <w:r>
              <w:t xml:space="preserve">5,400</w:t>
            </w:r>
          </w:p>
        </w:tc>
        <w:tc>
          <w:tcPr/>
          <w:p>
            <w:pPr>
              <w:pStyle w:val="Compact"/>
              <w:jc w:val="right"/>
            </w:pPr>
            <w:r>
              <w:t xml:space="preserve">7,010</w:t>
            </w:r>
          </w:p>
        </w:tc>
        <w:tc>
          <w:tcPr/>
          <w:p>
            <w:pPr>
              <w:pStyle w:val="Compact"/>
              <w:jc w:val="right"/>
            </w:pPr>
            <w:r>
              <w:t xml:space="preserve">7,528,880</w:t>
            </w:r>
          </w:p>
        </w:tc>
        <w:tc>
          <w:tcPr/>
          <w:p>
            <w:pPr>
              <w:pStyle w:val="Compact"/>
              <w:jc w:val="right"/>
            </w:pPr>
            <w:r>
              <w:t xml:space="preserve">14.47</w:t>
            </w:r>
          </w:p>
        </w:tc>
      </w:tr>
      <w:tr>
        <w:tc>
          <w:tcPr/>
          <w:p>
            <w:pPr>
              <w:pStyle w:val="Compact"/>
              <w:jc w:val="left"/>
            </w:pPr>
            <w:r>
              <w:t xml:space="preserve">Tenant 3</w:t>
            </w:r>
          </w:p>
        </w:tc>
        <w:tc>
          <w:tcPr/>
          <w:p>
            <w:pPr>
              <w:pStyle w:val="Compact"/>
              <w:jc w:val="right"/>
            </w:pPr>
            <w:r>
              <w:t xml:space="preserve">2,864,180</w:t>
            </w:r>
          </w:p>
        </w:tc>
        <w:tc>
          <w:tcPr/>
          <w:p>
            <w:pPr>
              <w:pStyle w:val="Compact"/>
              <w:jc w:val="right"/>
            </w:pPr>
            <w:r>
              <w:t xml:space="preserve">30,000</w:t>
            </w:r>
          </w:p>
        </w:tc>
        <w:tc>
          <w:tcPr/>
          <w:p>
            <w:pPr>
              <w:pStyle w:val="Compact"/>
              <w:jc w:val="right"/>
            </w:pPr>
            <w:r>
              <w:t xml:space="preserve">152,010</w:t>
            </w:r>
          </w:p>
        </w:tc>
        <w:tc>
          <w:tcPr/>
          <w:p>
            <w:pPr>
              <w:pStyle w:val="Compact"/>
              <w:jc w:val="right"/>
            </w:pPr>
            <w:r>
              <w:t xml:space="preserve">512,400</w:t>
            </w:r>
          </w:p>
        </w:tc>
        <w:tc>
          <w:tcPr/>
          <w:p>
            <w:pPr>
              <w:pStyle w:val="Compact"/>
              <w:jc w:val="right"/>
            </w:pPr>
            <w:r>
              <w:t xml:space="preserve">3,558,590</w:t>
            </w:r>
          </w:p>
        </w:tc>
        <w:tc>
          <w:tcPr/>
          <w:p>
            <w:pPr>
              <w:pStyle w:val="Compact"/>
              <w:jc w:val="right"/>
            </w:pPr>
            <w:r>
              <w:t xml:space="preserve">6.84</w:t>
            </w:r>
          </w:p>
        </w:tc>
      </w:tr>
      <w:tr>
        <w:tc>
          <w:tcPr/>
          <w:p>
            <w:pPr>
              <w:pStyle w:val="Compact"/>
              <w:jc w:val="left"/>
            </w:pPr>
            <w:r>
              <w:t xml:space="preserve">Total</w:t>
            </w:r>
          </w:p>
        </w:tc>
        <w:tc>
          <w:tcPr/>
          <w:p>
            <w:pPr>
              <w:pStyle w:val="Compact"/>
              <w:jc w:val="right"/>
            </w:pPr>
            <w:r>
              <w:t xml:space="preserve">32,885,660</w:t>
            </w:r>
          </w:p>
        </w:tc>
        <w:tc>
          <w:tcPr/>
          <w:p>
            <w:pPr>
              <w:pStyle w:val="Compact"/>
              <w:jc w:val="right"/>
            </w:pPr>
            <w:r>
              <w:t xml:space="preserve">3,170,330</w:t>
            </w:r>
          </w:p>
        </w:tc>
        <w:tc>
          <w:tcPr/>
          <w:p>
            <w:pPr>
              <w:pStyle w:val="Compact"/>
              <w:jc w:val="right"/>
            </w:pPr>
            <w:r>
              <w:t xml:space="preserve">2,500,420</w:t>
            </w:r>
          </w:p>
        </w:tc>
        <w:tc>
          <w:tcPr/>
          <w:p>
            <w:pPr>
              <w:pStyle w:val="Compact"/>
              <w:jc w:val="right"/>
            </w:pPr>
            <w:r>
              <w:t xml:space="preserve">13,471,130</w:t>
            </w:r>
          </w:p>
        </w:tc>
        <w:tc>
          <w:tcPr/>
          <w:p>
            <w:pPr>
              <w:pStyle w:val="Compact"/>
              <w:jc w:val="right"/>
            </w:pPr>
            <w:r>
              <w:t xml:space="preserve">52,027,540</w:t>
            </w:r>
          </w:p>
        </w:tc>
        <w:tc>
          <w:tcPr/>
          <w:p>
            <w:pPr>
              <w:pStyle w:val="Compact"/>
              <w:jc w:val="right"/>
            </w:pPr>
            <w:r>
              <w:t xml:space="preserve">100.00</w:t>
            </w:r>
          </w:p>
        </w:tc>
      </w:tr>
    </w:tbl>
    <w:p>
      <w:pPr>
        <w:pStyle w:val="BodyText"/>
      </w:pPr>
      <w:r>
        <w:t xml:space="preserve">The three tenants Austal, Navy, and Dock 6 contributes to majority of CAPEX with 28.37%, 27.08%, and 23.24%, respectively. Details on distribution of cost per tenant will be detailed in later section of the report. Further distribution of yearly CAPEX can be referred to Figure</w:t>
      </w:r>
      <w:r>
        <w:t xml:space="preserve"> </w:t>
      </w:r>
      <w:r>
        <w:t xml:space="preserve">13</w:t>
      </w:r>
      <w:r>
        <w:t xml:space="preserve"> </w:t>
      </w:r>
      <w:r>
        <w:t xml:space="preserve">and the provided CAPEX tidy dataset.</w:t>
      </w:r>
    </w:p>
    <w:p>
      <w:pPr>
        <w:pStyle w:val="CaptionedFigure"/>
      </w:pPr>
      <w:r>
        <w:drawing>
          <wp:inline>
            <wp:extent cx="5943600" cy="3566160"/>
            <wp:effectExtent b="0" l="0" r="0" t="0"/>
            <wp:docPr descr="Figure 13: Yearly Distribution of CAPEX - Tenants" title="" id="1" name="Picture"/>
            <a:graphic>
              <a:graphicData uri="http://schemas.openxmlformats.org/drawingml/2006/picture">
                <pic:pic>
                  <pic:nvPicPr>
                    <pic:cNvPr descr="../visuals/plot03.png" id="0" name="Picture"/>
                    <pic:cNvPicPr>
                      <a:picLocks noChangeArrowheads="1" noChangeAspect="1"/>
                    </pic:cNvPicPr>
                  </pic:nvPicPr>
                  <pic:blipFill>
                    <a:blip r:embed="rId68"/>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13: Yearly Distribution of CAPEX - Tenants</w:t>
      </w:r>
    </w:p>
    <w:p>
      <w:pPr>
        <w:pStyle w:val="BodyText"/>
      </w:pPr>
      <w:r>
        <w:t xml:space="preserve">Tables</w:t>
      </w:r>
      <w:r>
        <w:t xml:space="preserve"> </w:t>
      </w:r>
      <w:r>
        <w:t xml:space="preserve">9</w:t>
      </w:r>
      <w:r>
        <w:t xml:space="preserve"> </w:t>
      </w:r>
      <w:r>
        <w:t xml:space="preserve">presents the yearly distribution of CAPEX under each work type.</w:t>
      </w:r>
    </w:p>
    <w:p>
      <w:pPr>
        <w:pStyle w:val="TableCaption"/>
      </w:pPr>
      <w:r>
        <w:t xml:space="preserve">Table 9: Yearly CAPEX Distribution - Work Types</w:t>
      </w:r>
    </w:p>
    <w:tbl>
      <w:tblPr>
        <w:tblStyle w:val="Table"/>
        <w:tblW w:type="pct" w:w="5000"/>
        <w:tblLook w:firstRow="1" w:lastRow="0" w:firstColumn="0" w:lastColumn="0" w:noHBand="0" w:noVBand="0" w:val="0020"/>
        <w:tblCaption w:val="Table 9: Yearly CAPEX Distribution - Work Types"/>
      </w:tblPr>
      <w:tblGrid>
        <w:gridCol w:w="2251"/>
        <w:gridCol w:w="1009"/>
        <w:gridCol w:w="931"/>
        <w:gridCol w:w="1009"/>
        <w:gridCol w:w="1009"/>
        <w:gridCol w:w="1009"/>
        <w:gridCol w:w="698"/>
      </w:tblGrid>
      <w:tr>
        <w:trPr>
          <w:tblHeader w:val="true"/>
        </w:trPr>
        <w:tc>
          <w:tcPr/>
          <w:p>
            <w:pPr>
              <w:pStyle w:val="Compact"/>
              <w:jc w:val="left"/>
            </w:pPr>
            <w:r>
              <w:t xml:space="preserve">WorkType</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Structural Upgrade</w:t>
            </w:r>
          </w:p>
        </w:tc>
        <w:tc>
          <w:tcPr/>
          <w:p>
            <w:pPr>
              <w:pStyle w:val="Compact"/>
              <w:jc w:val="right"/>
            </w:pPr>
            <w:r>
              <w:t xml:space="preserve">9,597,420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9,597,420</w:t>
            </w:r>
          </w:p>
        </w:tc>
        <w:tc>
          <w:tcPr/>
          <w:p>
            <w:pPr>
              <w:pStyle w:val="Compact"/>
              <w:jc w:val="right"/>
            </w:pPr>
            <w:r>
              <w:t xml:space="preserve">18.45</w:t>
            </w:r>
          </w:p>
        </w:tc>
      </w:tr>
      <w:tr>
        <w:tc>
          <w:tcPr/>
          <w:p>
            <w:pPr>
              <w:pStyle w:val="Compact"/>
              <w:jc w:val="left"/>
            </w:pPr>
            <w:r>
              <w:t xml:space="preserve">HVAC</w:t>
            </w:r>
          </w:p>
        </w:tc>
        <w:tc>
          <w:tcPr/>
          <w:p>
            <w:pPr>
              <w:pStyle w:val="Compact"/>
              <w:jc w:val="right"/>
            </w:pPr>
            <w:r>
              <w:t xml:space="preserve">781,570</w:t>
            </w:r>
          </w:p>
        </w:tc>
        <w:tc>
          <w:tcPr/>
          <w:p>
            <w:pPr>
              <w:pStyle w:val="Compact"/>
              <w:jc w:val="right"/>
            </w:pPr>
            <w:r>
              <w:t xml:space="preserve">2,610,310</w:t>
            </w:r>
          </w:p>
        </w:tc>
        <w:tc>
          <w:tcPr/>
          <w:p>
            <w:pPr>
              <w:pStyle w:val="Compact"/>
              <w:jc w:val="right"/>
            </w:pPr>
            <w:r>
              <w:t xml:space="preserve">567,360</w:t>
            </w:r>
          </w:p>
        </w:tc>
        <w:tc>
          <w:tcPr/>
          <w:p>
            <w:pPr>
              <w:pStyle w:val="Compact"/>
              <w:jc w:val="right"/>
            </w:pPr>
            <w:r>
              <w:t xml:space="preserve">5,048,010</w:t>
            </w:r>
          </w:p>
        </w:tc>
        <w:tc>
          <w:tcPr/>
          <w:p>
            <w:pPr>
              <w:pStyle w:val="Compact"/>
              <w:jc w:val="right"/>
            </w:pPr>
            <w:r>
              <w:t xml:space="preserve">9,007,250</w:t>
            </w:r>
          </w:p>
        </w:tc>
        <w:tc>
          <w:tcPr/>
          <w:p>
            <w:pPr>
              <w:pStyle w:val="Compact"/>
              <w:jc w:val="right"/>
            </w:pPr>
            <w:r>
              <w:t xml:space="preserve">17.31</w:t>
            </w:r>
          </w:p>
        </w:tc>
      </w:tr>
      <w:tr>
        <w:tc>
          <w:tcPr/>
          <w:p>
            <w:pPr>
              <w:pStyle w:val="Compact"/>
              <w:jc w:val="left"/>
            </w:pPr>
            <w:r>
              <w:t xml:space="preserve">Roof</w:t>
            </w:r>
          </w:p>
        </w:tc>
        <w:tc>
          <w:tcPr/>
          <w:p>
            <w:pPr>
              <w:pStyle w:val="Compact"/>
              <w:jc w:val="right"/>
            </w:pPr>
            <w:r>
              <w:t xml:space="preserve">1,057,030</w:t>
            </w:r>
          </w:p>
        </w:tc>
        <w:tc>
          <w:tcPr/>
          <w:p>
            <w:pPr>
              <w:pStyle w:val="Compact"/>
              <w:jc w:val="right"/>
            </w:pPr>
            <w:r>
              <w:t xml:space="preserve">0</w:t>
            </w:r>
          </w:p>
        </w:tc>
        <w:tc>
          <w:tcPr/>
          <w:p>
            <w:pPr>
              <w:pStyle w:val="Compact"/>
              <w:jc w:val="right"/>
            </w:pPr>
            <w:r>
              <w:t xml:space="preserve">410,070</w:t>
            </w:r>
          </w:p>
        </w:tc>
        <w:tc>
          <w:tcPr/>
          <w:p>
            <w:pPr>
              <w:pStyle w:val="Compact"/>
              <w:jc w:val="right"/>
            </w:pPr>
            <w:r>
              <w:t xml:space="preserve">3,902,460</w:t>
            </w:r>
          </w:p>
        </w:tc>
        <w:tc>
          <w:tcPr/>
          <w:p>
            <w:pPr>
              <w:pStyle w:val="Compact"/>
              <w:jc w:val="right"/>
            </w:pPr>
            <w:r>
              <w:t xml:space="preserve">5,369,560</w:t>
            </w:r>
          </w:p>
        </w:tc>
        <w:tc>
          <w:tcPr/>
          <w:p>
            <w:pPr>
              <w:pStyle w:val="Compact"/>
              <w:jc w:val="right"/>
            </w:pPr>
            <w:r>
              <w:t xml:space="preserve">10.32</w:t>
            </w:r>
          </w:p>
        </w:tc>
      </w:tr>
      <w:tr>
        <w:tc>
          <w:tcPr/>
          <w:p>
            <w:pPr>
              <w:pStyle w:val="Compact"/>
              <w:jc w:val="left"/>
            </w:pPr>
            <w:r>
              <w:t xml:space="preserve">Perimeter Fence</w:t>
            </w:r>
          </w:p>
        </w:tc>
        <w:tc>
          <w:tcPr/>
          <w:p>
            <w:pPr>
              <w:pStyle w:val="Compact"/>
              <w:jc w:val="right"/>
            </w:pPr>
            <w:r>
              <w:t xml:space="preserve">5,352,950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5,352,950</w:t>
            </w:r>
          </w:p>
        </w:tc>
        <w:tc>
          <w:tcPr/>
          <w:p>
            <w:pPr>
              <w:pStyle w:val="Compact"/>
              <w:jc w:val="right"/>
            </w:pPr>
            <w:r>
              <w:t xml:space="preserve">10.29</w:t>
            </w:r>
          </w:p>
        </w:tc>
      </w:tr>
      <w:tr>
        <w:tc>
          <w:tcPr/>
          <w:p>
            <w:pPr>
              <w:pStyle w:val="Compact"/>
              <w:jc w:val="left"/>
            </w:pPr>
            <w:r>
              <w:t xml:space="preserve">Electrical System</w:t>
            </w:r>
          </w:p>
        </w:tc>
        <w:tc>
          <w:tcPr/>
          <w:p>
            <w:pPr>
              <w:pStyle w:val="Compact"/>
              <w:jc w:val="right"/>
            </w:pPr>
            <w:r>
              <w:t xml:space="preserve">1,711,160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3,376,710</w:t>
            </w:r>
          </w:p>
        </w:tc>
        <w:tc>
          <w:tcPr/>
          <w:p>
            <w:pPr>
              <w:pStyle w:val="Compact"/>
              <w:jc w:val="right"/>
            </w:pPr>
            <w:r>
              <w:t xml:space="preserve">5,087,870</w:t>
            </w:r>
          </w:p>
        </w:tc>
        <w:tc>
          <w:tcPr/>
          <w:p>
            <w:pPr>
              <w:pStyle w:val="Compact"/>
              <w:jc w:val="right"/>
            </w:pPr>
            <w:r>
              <w:t xml:space="preserve">9.78</w:t>
            </w:r>
          </w:p>
        </w:tc>
      </w:tr>
      <w:tr>
        <w:tc>
          <w:tcPr/>
          <w:p>
            <w:pPr>
              <w:pStyle w:val="Compact"/>
              <w:jc w:val="left"/>
            </w:pPr>
            <w:r>
              <w:t xml:space="preserve">Miscellaneous</w:t>
            </w:r>
          </w:p>
        </w:tc>
        <w:tc>
          <w:tcPr/>
          <w:p>
            <w:pPr>
              <w:pStyle w:val="Compact"/>
              <w:jc w:val="right"/>
            </w:pPr>
            <w:r>
              <w:t xml:space="preserve">3,384,050</w:t>
            </w:r>
          </w:p>
        </w:tc>
        <w:tc>
          <w:tcPr/>
          <w:p>
            <w:pPr>
              <w:pStyle w:val="Compact"/>
              <w:jc w:val="right"/>
            </w:pPr>
            <w:r>
              <w:t xml:space="preserve">212,750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3,596,800</w:t>
            </w:r>
          </w:p>
        </w:tc>
        <w:tc>
          <w:tcPr/>
          <w:p>
            <w:pPr>
              <w:pStyle w:val="Compact"/>
              <w:jc w:val="right"/>
            </w:pPr>
            <w:r>
              <w:t xml:space="preserve">6.91</w:t>
            </w:r>
          </w:p>
        </w:tc>
      </w:tr>
      <w:tr>
        <w:tc>
          <w:tcPr/>
          <w:p>
            <w:pPr>
              <w:pStyle w:val="Compact"/>
              <w:jc w:val="left"/>
            </w:pPr>
            <w:r>
              <w:t xml:space="preserve">Preliminaries</w:t>
            </w:r>
          </w:p>
        </w:tc>
        <w:tc>
          <w:tcPr/>
          <w:p>
            <w:pPr>
              <w:pStyle w:val="Compact"/>
              <w:jc w:val="right"/>
            </w:pPr>
            <w:r>
              <w:t xml:space="preserve">3,109,910</w:t>
            </w:r>
          </w:p>
        </w:tc>
        <w:tc>
          <w:tcPr/>
          <w:p>
            <w:pPr>
              <w:pStyle w:val="Compact"/>
              <w:jc w:val="right"/>
            </w:pPr>
            <w:r>
              <w:t xml:space="preserve">11,580</w:t>
            </w:r>
          </w:p>
        </w:tc>
        <w:tc>
          <w:tcPr/>
          <w:p>
            <w:pPr>
              <w:pStyle w:val="Compact"/>
              <w:jc w:val="right"/>
            </w:pPr>
            <w:r>
              <w:t xml:space="preserve">92,960</w:t>
            </w:r>
          </w:p>
        </w:tc>
        <w:tc>
          <w:tcPr/>
          <w:p>
            <w:pPr>
              <w:pStyle w:val="Compact"/>
              <w:jc w:val="right"/>
            </w:pPr>
            <w:r>
              <w:t xml:space="preserve">0</w:t>
            </w:r>
          </w:p>
        </w:tc>
        <w:tc>
          <w:tcPr/>
          <w:p>
            <w:pPr>
              <w:pStyle w:val="Compact"/>
              <w:jc w:val="right"/>
            </w:pPr>
            <w:r>
              <w:t xml:space="preserve">3,214,450</w:t>
            </w:r>
          </w:p>
        </w:tc>
        <w:tc>
          <w:tcPr/>
          <w:p>
            <w:pPr>
              <w:pStyle w:val="Compact"/>
              <w:jc w:val="right"/>
            </w:pPr>
            <w:r>
              <w:t xml:space="preserve">6.18</w:t>
            </w:r>
          </w:p>
        </w:tc>
      </w:tr>
      <w:tr>
        <w:tc>
          <w:tcPr/>
          <w:p>
            <w:pPr>
              <w:pStyle w:val="Compact"/>
              <w:jc w:val="left"/>
            </w:pPr>
            <w:r>
              <w:t xml:space="preserve">Contingencies</w:t>
            </w:r>
          </w:p>
        </w:tc>
        <w:tc>
          <w:tcPr/>
          <w:p>
            <w:pPr>
              <w:pStyle w:val="Compact"/>
              <w:jc w:val="right"/>
            </w:pPr>
            <w:r>
              <w:t xml:space="preserve">2,809,390</w:t>
            </w:r>
          </w:p>
        </w:tc>
        <w:tc>
          <w:tcPr/>
          <w:p>
            <w:pPr>
              <w:pStyle w:val="Compact"/>
              <w:jc w:val="right"/>
            </w:pPr>
            <w:r>
              <w:t xml:space="preserve">10,530</w:t>
            </w:r>
          </w:p>
        </w:tc>
        <w:tc>
          <w:tcPr/>
          <w:p>
            <w:pPr>
              <w:pStyle w:val="Compact"/>
              <w:jc w:val="right"/>
            </w:pPr>
            <w:r>
              <w:t xml:space="preserve">84,500</w:t>
            </w:r>
          </w:p>
        </w:tc>
        <w:tc>
          <w:tcPr/>
          <w:p>
            <w:pPr>
              <w:pStyle w:val="Compact"/>
              <w:jc w:val="right"/>
            </w:pPr>
            <w:r>
              <w:t xml:space="preserve">0</w:t>
            </w:r>
          </w:p>
        </w:tc>
        <w:tc>
          <w:tcPr/>
          <w:p>
            <w:pPr>
              <w:pStyle w:val="Compact"/>
              <w:jc w:val="right"/>
            </w:pPr>
            <w:r>
              <w:t xml:space="preserve">2,904,420</w:t>
            </w:r>
          </w:p>
        </w:tc>
        <w:tc>
          <w:tcPr/>
          <w:p>
            <w:pPr>
              <w:pStyle w:val="Compact"/>
              <w:jc w:val="right"/>
            </w:pPr>
            <w:r>
              <w:t xml:space="preserve">5.58</w:t>
            </w:r>
          </w:p>
        </w:tc>
      </w:tr>
      <w:tr>
        <w:tc>
          <w:tcPr/>
          <w:p>
            <w:pPr>
              <w:pStyle w:val="Compact"/>
              <w:jc w:val="left"/>
            </w:pPr>
            <w:r>
              <w:t xml:space="preserve">Interior</w:t>
            </w:r>
          </w:p>
        </w:tc>
        <w:tc>
          <w:tcPr/>
          <w:p>
            <w:pPr>
              <w:pStyle w:val="Compact"/>
              <w:jc w:val="right"/>
            </w:pPr>
            <w:r>
              <w:t xml:space="preserve">1,202,470</w:t>
            </w:r>
          </w:p>
        </w:tc>
        <w:tc>
          <w:tcPr/>
          <w:p>
            <w:pPr>
              <w:pStyle w:val="Compact"/>
              <w:jc w:val="right"/>
            </w:pPr>
            <w:r>
              <w:t xml:space="preserve">250,610</w:t>
            </w:r>
          </w:p>
        </w:tc>
        <w:tc>
          <w:tcPr/>
          <w:p>
            <w:pPr>
              <w:pStyle w:val="Compact"/>
              <w:jc w:val="right"/>
            </w:pPr>
            <w:r>
              <w:t xml:space="preserve">377,330</w:t>
            </w:r>
          </w:p>
        </w:tc>
        <w:tc>
          <w:tcPr/>
          <w:p>
            <w:pPr>
              <w:pStyle w:val="Compact"/>
              <w:jc w:val="right"/>
            </w:pPr>
            <w:r>
              <w:t xml:space="preserve">1,055,710</w:t>
            </w:r>
          </w:p>
        </w:tc>
        <w:tc>
          <w:tcPr/>
          <w:p>
            <w:pPr>
              <w:pStyle w:val="Compact"/>
              <w:jc w:val="right"/>
            </w:pPr>
            <w:r>
              <w:t xml:space="preserve">2,886,120</w:t>
            </w:r>
          </w:p>
        </w:tc>
        <w:tc>
          <w:tcPr/>
          <w:p>
            <w:pPr>
              <w:pStyle w:val="Compact"/>
              <w:jc w:val="right"/>
            </w:pPr>
            <w:r>
              <w:t xml:space="preserve">5.55</w:t>
            </w:r>
          </w:p>
        </w:tc>
      </w:tr>
      <w:tr>
        <w:tc>
          <w:tcPr/>
          <w:p>
            <w:pPr>
              <w:pStyle w:val="Compact"/>
              <w:jc w:val="left"/>
            </w:pPr>
            <w:r>
              <w:t xml:space="preserve">Engineering and Management</w:t>
            </w:r>
          </w:p>
        </w:tc>
        <w:tc>
          <w:tcPr/>
          <w:p>
            <w:pPr>
              <w:pStyle w:val="Compact"/>
              <w:jc w:val="right"/>
            </w:pPr>
            <w:r>
              <w:t xml:space="preserve">1,730,130</w:t>
            </w:r>
          </w:p>
        </w:tc>
        <w:tc>
          <w:tcPr/>
          <w:p>
            <w:pPr>
              <w:pStyle w:val="Compact"/>
              <w:jc w:val="right"/>
            </w:pPr>
            <w:r>
              <w:t xml:space="preserve">6,370</w:t>
            </w:r>
          </w:p>
        </w:tc>
        <w:tc>
          <w:tcPr/>
          <w:p>
            <w:pPr>
              <w:pStyle w:val="Compact"/>
              <w:jc w:val="right"/>
            </w:pPr>
            <w:r>
              <w:t xml:space="preserve">50,230</w:t>
            </w:r>
          </w:p>
        </w:tc>
        <w:tc>
          <w:tcPr/>
          <w:p>
            <w:pPr>
              <w:pStyle w:val="Compact"/>
              <w:jc w:val="right"/>
            </w:pPr>
            <w:r>
              <w:t xml:space="preserve">0</w:t>
            </w:r>
          </w:p>
        </w:tc>
        <w:tc>
          <w:tcPr/>
          <w:p>
            <w:pPr>
              <w:pStyle w:val="Compact"/>
              <w:jc w:val="right"/>
            </w:pPr>
            <w:r>
              <w:t xml:space="preserve">1,786,730</w:t>
            </w:r>
          </w:p>
        </w:tc>
        <w:tc>
          <w:tcPr/>
          <w:p>
            <w:pPr>
              <w:pStyle w:val="Compact"/>
              <w:jc w:val="right"/>
            </w:pPr>
            <w:r>
              <w:t xml:space="preserve">3.43</w:t>
            </w:r>
          </w:p>
        </w:tc>
      </w:tr>
      <w:tr>
        <w:tc>
          <w:tcPr/>
          <w:p>
            <w:pPr>
              <w:pStyle w:val="Compact"/>
              <w:jc w:val="left"/>
            </w:pPr>
            <w:r>
              <w:t xml:space="preserve">Demolition</w:t>
            </w:r>
          </w:p>
        </w:tc>
        <w:tc>
          <w:tcPr/>
          <w:p>
            <w:pPr>
              <w:pStyle w:val="Compact"/>
              <w:jc w:val="right"/>
            </w:pPr>
            <w:r>
              <w:t xml:space="preserve">0</w:t>
            </w:r>
          </w:p>
        </w:tc>
        <w:tc>
          <w:tcPr/>
          <w:p>
            <w:pPr>
              <w:pStyle w:val="Compact"/>
              <w:jc w:val="right"/>
            </w:pPr>
            <w:r>
              <w:t xml:space="preserve">0</w:t>
            </w:r>
          </w:p>
        </w:tc>
        <w:tc>
          <w:tcPr/>
          <w:p>
            <w:pPr>
              <w:pStyle w:val="Compact"/>
              <w:jc w:val="right"/>
            </w:pPr>
            <w:r>
              <w:t xml:space="preserve">917,970</w:t>
            </w:r>
          </w:p>
        </w:tc>
        <w:tc>
          <w:tcPr/>
          <w:p>
            <w:pPr>
              <w:pStyle w:val="Compact"/>
              <w:jc w:val="right"/>
            </w:pPr>
            <w:r>
              <w:t xml:space="preserve">0</w:t>
            </w:r>
          </w:p>
        </w:tc>
        <w:tc>
          <w:tcPr/>
          <w:p>
            <w:pPr>
              <w:pStyle w:val="Compact"/>
              <w:jc w:val="right"/>
            </w:pPr>
            <w:r>
              <w:t xml:space="preserve">917,970</w:t>
            </w:r>
          </w:p>
        </w:tc>
        <w:tc>
          <w:tcPr/>
          <w:p>
            <w:pPr>
              <w:pStyle w:val="Compact"/>
              <w:jc w:val="right"/>
            </w:pPr>
            <w:r>
              <w:t xml:space="preserve">1.76</w:t>
            </w:r>
          </w:p>
        </w:tc>
      </w:tr>
      <w:tr>
        <w:tc>
          <w:tcPr/>
          <w:p>
            <w:pPr>
              <w:pStyle w:val="Compact"/>
              <w:jc w:val="left"/>
            </w:pPr>
            <w:r>
              <w:t xml:space="preserve">Fire Protection System</w:t>
            </w:r>
          </w:p>
        </w:tc>
        <w:tc>
          <w:tcPr/>
          <w:p>
            <w:pPr>
              <w:pStyle w:val="Compact"/>
              <w:jc w:val="right"/>
            </w:pPr>
            <w:r>
              <w:t xml:space="preserve">858,290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858,290</w:t>
            </w:r>
          </w:p>
        </w:tc>
        <w:tc>
          <w:tcPr/>
          <w:p>
            <w:pPr>
              <w:pStyle w:val="Compact"/>
              <w:jc w:val="right"/>
            </w:pPr>
            <w:r>
              <w:t xml:space="preserve">1.65</w:t>
            </w:r>
          </w:p>
        </w:tc>
      </w:tr>
      <w:tr>
        <w:tc>
          <w:tcPr/>
          <w:p>
            <w:pPr>
              <w:pStyle w:val="Compact"/>
              <w:jc w:val="left"/>
            </w:pPr>
            <w:r>
              <w:t xml:space="preserve">Plumbing System</w:t>
            </w:r>
          </w:p>
        </w:tc>
        <w:tc>
          <w:tcPr/>
          <w:p>
            <w:pPr>
              <w:pStyle w:val="Compact"/>
              <w:jc w:val="right"/>
            </w:pPr>
            <w:r>
              <w:t xml:space="preserve">550,610</w:t>
            </w:r>
          </w:p>
        </w:tc>
        <w:tc>
          <w:tcPr/>
          <w:p>
            <w:pPr>
              <w:pStyle w:val="Compact"/>
              <w:jc w:val="right"/>
            </w:pPr>
            <w:r>
              <w:t xml:space="preserve">30,330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580,940</w:t>
            </w:r>
          </w:p>
        </w:tc>
        <w:tc>
          <w:tcPr/>
          <w:p>
            <w:pPr>
              <w:pStyle w:val="Compact"/>
              <w:jc w:val="right"/>
            </w:pPr>
            <w:r>
              <w:t xml:space="preserve">1.12</w:t>
            </w:r>
          </w:p>
        </w:tc>
      </w:tr>
      <w:tr>
        <w:tc>
          <w:tcPr/>
          <w:p>
            <w:pPr>
              <w:pStyle w:val="Compact"/>
              <w:jc w:val="left"/>
            </w:pPr>
            <w:r>
              <w:t xml:space="preserve">Structural Elements</w:t>
            </w:r>
          </w:p>
        </w:tc>
        <w:tc>
          <w:tcPr/>
          <w:p>
            <w:pPr>
              <w:pStyle w:val="Compact"/>
              <w:jc w:val="right"/>
            </w:pPr>
            <w:r>
              <w:t xml:space="preserve">413,020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413,020</w:t>
            </w:r>
          </w:p>
        </w:tc>
        <w:tc>
          <w:tcPr/>
          <w:p>
            <w:pPr>
              <w:pStyle w:val="Compact"/>
              <w:jc w:val="right"/>
            </w:pPr>
            <w:r>
              <w:t xml:space="preserve">0.79</w:t>
            </w:r>
          </w:p>
        </w:tc>
      </w:tr>
      <w:tr>
        <w:tc>
          <w:tcPr/>
          <w:p>
            <w:pPr>
              <w:pStyle w:val="Compact"/>
              <w:jc w:val="left"/>
            </w:pPr>
            <w:r>
              <w:t xml:space="preserve">Environmental</w:t>
            </w:r>
          </w:p>
        </w:tc>
        <w:tc>
          <w:tcPr/>
          <w:p>
            <w:pPr>
              <w:pStyle w:val="Compact"/>
              <w:jc w:val="right"/>
            </w:pPr>
            <w:r>
              <w:t xml:space="preserve">180,000</w:t>
            </w:r>
          </w:p>
        </w:tc>
        <w:tc>
          <w:tcPr/>
          <w:p>
            <w:pPr>
              <w:pStyle w:val="Compact"/>
              <w:jc w:val="right"/>
            </w:pPr>
            <w:r>
              <w:t xml:space="preserve">30,000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210,000</w:t>
            </w:r>
          </w:p>
        </w:tc>
        <w:tc>
          <w:tcPr/>
          <w:p>
            <w:pPr>
              <w:pStyle w:val="Compact"/>
              <w:jc w:val="right"/>
            </w:pPr>
            <w:r>
              <w:t xml:space="preserve">0.40</w:t>
            </w:r>
          </w:p>
        </w:tc>
      </w:tr>
      <w:tr>
        <w:tc>
          <w:tcPr/>
          <w:p>
            <w:pPr>
              <w:pStyle w:val="Compact"/>
              <w:jc w:val="left"/>
            </w:pPr>
            <w:r>
              <w:t xml:space="preserve">Building Fabric</w:t>
            </w:r>
          </w:p>
        </w:tc>
        <w:tc>
          <w:tcPr/>
          <w:p>
            <w:pPr>
              <w:pStyle w:val="Compact"/>
              <w:jc w:val="right"/>
            </w:pPr>
            <w:r>
              <w:t xml:space="preserve">138,830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138,830</w:t>
            </w:r>
          </w:p>
        </w:tc>
        <w:tc>
          <w:tcPr/>
          <w:p>
            <w:pPr>
              <w:pStyle w:val="Compact"/>
              <w:jc w:val="right"/>
            </w:pPr>
            <w:r>
              <w:t xml:space="preserve">0.27</w:t>
            </w:r>
          </w:p>
        </w:tc>
      </w:tr>
      <w:tr>
        <w:tc>
          <w:tcPr/>
          <w:p>
            <w:pPr>
              <w:pStyle w:val="Compact"/>
              <w:jc w:val="left"/>
            </w:pPr>
            <w:r>
              <w:t xml:space="preserve">Vertical Transportation</w:t>
            </w:r>
          </w:p>
        </w:tc>
        <w:tc>
          <w:tcPr/>
          <w:p>
            <w:pPr>
              <w:pStyle w:val="Compact"/>
              <w:jc w:val="right"/>
            </w:pPr>
            <w:r>
              <w:t xml:space="preserve">8,830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88,240</w:t>
            </w:r>
          </w:p>
        </w:tc>
        <w:tc>
          <w:tcPr/>
          <w:p>
            <w:pPr>
              <w:pStyle w:val="Compact"/>
              <w:jc w:val="right"/>
            </w:pPr>
            <w:r>
              <w:t xml:space="preserve">97,070</w:t>
            </w:r>
          </w:p>
        </w:tc>
        <w:tc>
          <w:tcPr/>
          <w:p>
            <w:pPr>
              <w:pStyle w:val="Compact"/>
              <w:jc w:val="right"/>
            </w:pPr>
            <w:r>
              <w:t xml:space="preserve">0.19</w:t>
            </w:r>
          </w:p>
        </w:tc>
      </w:tr>
      <w:tr>
        <w:tc>
          <w:tcPr/>
          <w:p>
            <w:pPr>
              <w:pStyle w:val="Compact"/>
              <w:jc w:val="left"/>
            </w:pPr>
            <w:r>
              <w:t xml:space="preserve">Mechanical System</w:t>
            </w:r>
          </w:p>
        </w:tc>
        <w:tc>
          <w:tcPr/>
          <w:p>
            <w:pPr>
              <w:pStyle w:val="Compact"/>
              <w:jc w:val="right"/>
            </w:pPr>
            <w:r>
              <w:t xml:space="preserve">0</w:t>
            </w:r>
          </w:p>
        </w:tc>
        <w:tc>
          <w:tcPr/>
          <w:p>
            <w:pPr>
              <w:pStyle w:val="Compact"/>
              <w:jc w:val="right"/>
            </w:pPr>
            <w:r>
              <w:t xml:space="preserve">7,850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7,850</w:t>
            </w:r>
          </w:p>
        </w:tc>
        <w:tc>
          <w:tcPr/>
          <w:p>
            <w:pPr>
              <w:pStyle w:val="Compact"/>
              <w:jc w:val="right"/>
            </w:pPr>
            <w:r>
              <w:t xml:space="preserve">0.02</w:t>
            </w:r>
          </w:p>
        </w:tc>
      </w:tr>
      <w:tr>
        <w:tc>
          <w:tcPr/>
          <w:p>
            <w:pPr>
              <w:pStyle w:val="Compact"/>
              <w:jc w:val="left"/>
            </w:pPr>
            <w:r>
              <w:t xml:space="preserve">Total</w:t>
            </w:r>
          </w:p>
        </w:tc>
        <w:tc>
          <w:tcPr/>
          <w:p>
            <w:pPr>
              <w:pStyle w:val="Compact"/>
              <w:jc w:val="right"/>
            </w:pPr>
            <w:r>
              <w:t xml:space="preserve">32,885,660</w:t>
            </w:r>
          </w:p>
        </w:tc>
        <w:tc>
          <w:tcPr/>
          <w:p>
            <w:pPr>
              <w:pStyle w:val="Compact"/>
              <w:jc w:val="right"/>
            </w:pPr>
            <w:r>
              <w:t xml:space="preserve">3,170,330</w:t>
            </w:r>
          </w:p>
        </w:tc>
        <w:tc>
          <w:tcPr/>
          <w:p>
            <w:pPr>
              <w:pStyle w:val="Compact"/>
              <w:jc w:val="right"/>
            </w:pPr>
            <w:r>
              <w:t xml:space="preserve">2,500,420</w:t>
            </w:r>
          </w:p>
        </w:tc>
        <w:tc>
          <w:tcPr/>
          <w:p>
            <w:pPr>
              <w:pStyle w:val="Compact"/>
              <w:jc w:val="right"/>
            </w:pPr>
            <w:r>
              <w:t xml:space="preserve">13,471,130</w:t>
            </w:r>
          </w:p>
        </w:tc>
        <w:tc>
          <w:tcPr/>
          <w:p>
            <w:pPr>
              <w:pStyle w:val="Compact"/>
              <w:jc w:val="right"/>
            </w:pPr>
            <w:r>
              <w:t xml:space="preserve">52,027,540</w:t>
            </w:r>
          </w:p>
        </w:tc>
        <w:tc>
          <w:tcPr/>
          <w:p>
            <w:pPr>
              <w:pStyle w:val="Compact"/>
              <w:jc w:val="right"/>
            </w:pPr>
            <w:r>
              <w:t xml:space="preserve">100.00</w:t>
            </w:r>
          </w:p>
        </w:tc>
      </w:tr>
    </w:tbl>
    <w:p>
      <w:pPr>
        <w:pStyle w:val="BodyText"/>
      </w:pPr>
      <w:r>
        <w:t xml:space="preserve">Further distribution of yearly CAPEX can be referred to Figure</w:t>
      </w:r>
      <w:r>
        <w:t xml:space="preserve"> </w:t>
      </w:r>
      <w:r>
        <w:t xml:space="preserve">14</w:t>
      </w:r>
      <w:r>
        <w:t xml:space="preserve"> </w:t>
      </w:r>
      <w:r>
        <w:t xml:space="preserve">and the provided CAPEX tidy dataset.</w:t>
      </w:r>
    </w:p>
    <w:p>
      <w:pPr>
        <w:pStyle w:val="CaptionedFigure"/>
      </w:pPr>
      <w:r>
        <w:drawing>
          <wp:inline>
            <wp:extent cx="5943600" cy="3566160"/>
            <wp:effectExtent b="0" l="0" r="0" t="0"/>
            <wp:docPr descr="Figure 14: Yearly Distribution of CAPEX - Work Types" title="" id="1" name="Picture"/>
            <a:graphic>
              <a:graphicData uri="http://schemas.openxmlformats.org/drawingml/2006/picture">
                <pic:pic>
                  <pic:nvPicPr>
                    <pic:cNvPr descr="../visuals/plot04.png" id="0" name="Picture"/>
                    <pic:cNvPicPr>
                      <a:picLocks noChangeArrowheads="1" noChangeAspect="1"/>
                    </pic:cNvPicPr>
                  </pic:nvPicPr>
                  <pic:blipFill>
                    <a:blip r:embed="rId6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14: Yearly Distribution of CAPEX - Work Types</w:t>
      </w:r>
    </w:p>
    <w:bookmarkEnd w:id="70"/>
    <w:bookmarkStart w:id="72" w:name="austal-1"/>
    <w:p>
      <w:pPr>
        <w:pStyle w:val="Heading2"/>
      </w:pPr>
      <w:r>
        <w:t xml:space="preserve">Austal</w:t>
      </w:r>
    </w:p>
    <w:p>
      <w:pPr>
        <w:pStyle w:val="FirstParagraph"/>
      </w:pPr>
      <w:r>
        <w:t xml:space="preserve">The distribution of CAPEX under Austal is presented in the Table</w:t>
      </w:r>
      <w:r>
        <w:t xml:space="preserve"> </w:t>
      </w:r>
      <w:r>
        <w:t xml:space="preserve">10</w:t>
      </w:r>
      <w:r>
        <w:t xml:space="preserve">.</w:t>
      </w:r>
    </w:p>
    <w:p>
      <w:pPr>
        <w:pStyle w:val="TableCaption"/>
      </w:pPr>
      <w:r>
        <w:t xml:space="preserve">Table 10: Austals CAPEX Distribution</w:t>
      </w:r>
    </w:p>
    <w:tbl>
      <w:tblPr>
        <w:tblStyle w:val="Table"/>
        <w:tblW w:type="pct" w:w="5000"/>
        <w:tblLook w:firstRow="1" w:lastRow="0" w:firstColumn="0" w:lastColumn="0" w:noHBand="0" w:noVBand="0" w:val="0020"/>
        <w:tblCaption w:val="Table 10: Austals CAPEX Distribution"/>
      </w:tblPr>
      <w:tblGrid>
        <w:gridCol w:w="1601"/>
        <w:gridCol w:w="1067"/>
        <w:gridCol w:w="1067"/>
        <w:gridCol w:w="1156"/>
        <w:gridCol w:w="1067"/>
        <w:gridCol w:w="1156"/>
        <w:gridCol w:w="800"/>
      </w:tblGrid>
      <w:tr>
        <w:trPr>
          <w:tblHeader w:val="true"/>
        </w:trPr>
        <w:tc>
          <w:tcPr/>
          <w:p>
            <w:pPr>
              <w:pStyle w:val="Compact"/>
              <w:jc w:val="left"/>
            </w:pPr>
            <w:r>
              <w:t xml:space="preserve">Disciplines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Structural</w:t>
            </w:r>
          </w:p>
        </w:tc>
        <w:tc>
          <w:tcPr/>
          <w:p>
            <w:pPr>
              <w:pStyle w:val="Compact"/>
              <w:jc w:val="right"/>
            </w:pPr>
            <w:r>
              <w:t xml:space="preserve">3,906,300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3,906,300</w:t>
            </w:r>
          </w:p>
        </w:tc>
        <w:tc>
          <w:tcPr/>
          <w:p>
            <w:pPr>
              <w:pStyle w:val="Compact"/>
              <w:jc w:val="right"/>
            </w:pPr>
            <w:r>
              <w:t xml:space="preserve">26.46</w:t>
            </w:r>
          </w:p>
        </w:tc>
      </w:tr>
      <w:tr>
        <w:tc>
          <w:tcPr/>
          <w:p>
            <w:pPr>
              <w:pStyle w:val="Compact"/>
              <w:jc w:val="left"/>
            </w:pPr>
            <w:r>
              <w:t xml:space="preserve">Mechanical</w:t>
            </w:r>
          </w:p>
        </w:tc>
        <w:tc>
          <w:tcPr/>
          <w:p>
            <w:pPr>
              <w:pStyle w:val="Compact"/>
              <w:jc w:val="right"/>
            </w:pPr>
            <w:r>
              <w:t xml:space="preserve">247,620</w:t>
            </w:r>
          </w:p>
        </w:tc>
        <w:tc>
          <w:tcPr/>
          <w:p>
            <w:pPr>
              <w:pStyle w:val="Compact"/>
              <w:jc w:val="right"/>
            </w:pPr>
            <w:r>
              <w:t xml:space="preserve">871,340</w:t>
            </w:r>
          </w:p>
        </w:tc>
        <w:tc>
          <w:tcPr/>
          <w:p>
            <w:pPr>
              <w:pStyle w:val="Compact"/>
              <w:jc w:val="right"/>
            </w:pPr>
            <w:r>
              <w:t xml:space="preserve">110,950</w:t>
            </w:r>
          </w:p>
        </w:tc>
        <w:tc>
          <w:tcPr/>
          <w:p>
            <w:pPr>
              <w:pStyle w:val="Compact"/>
              <w:jc w:val="right"/>
            </w:pPr>
            <w:r>
              <w:t xml:space="preserve">1,929,390</w:t>
            </w:r>
          </w:p>
        </w:tc>
        <w:tc>
          <w:tcPr/>
          <w:p>
            <w:pPr>
              <w:pStyle w:val="Compact"/>
              <w:jc w:val="right"/>
            </w:pPr>
            <w:r>
              <w:t xml:space="preserve">3,159,300</w:t>
            </w:r>
          </w:p>
        </w:tc>
        <w:tc>
          <w:tcPr/>
          <w:p>
            <w:pPr>
              <w:pStyle w:val="Compact"/>
              <w:jc w:val="right"/>
            </w:pPr>
            <w:r>
              <w:t xml:space="preserve">21.40</w:t>
            </w:r>
          </w:p>
        </w:tc>
      </w:tr>
      <w:tr>
        <w:tc>
          <w:tcPr/>
          <w:p>
            <w:pPr>
              <w:pStyle w:val="Compact"/>
              <w:jc w:val="left"/>
            </w:pPr>
            <w:r>
              <w:t xml:space="preserve">Soft Cost</w:t>
            </w:r>
          </w:p>
        </w:tc>
        <w:tc>
          <w:tcPr/>
          <w:p>
            <w:pPr>
              <w:pStyle w:val="Compact"/>
              <w:jc w:val="right"/>
            </w:pPr>
            <w:r>
              <w:t xml:space="preserve">2,013,410</w:t>
            </w:r>
          </w:p>
        </w:tc>
        <w:tc>
          <w:tcPr/>
          <w:p>
            <w:pPr>
              <w:pStyle w:val="Compact"/>
              <w:jc w:val="right"/>
            </w:pPr>
            <w:r>
              <w:t xml:space="preserve">0</w:t>
            </w:r>
          </w:p>
        </w:tc>
        <w:tc>
          <w:tcPr/>
          <w:p>
            <w:pPr>
              <w:pStyle w:val="Compact"/>
              <w:jc w:val="right"/>
            </w:pPr>
            <w:r>
              <w:t xml:space="preserve">224,140</w:t>
            </w:r>
          </w:p>
        </w:tc>
        <w:tc>
          <w:tcPr/>
          <w:p>
            <w:pPr>
              <w:pStyle w:val="Compact"/>
              <w:jc w:val="right"/>
            </w:pPr>
            <w:r>
              <w:t xml:space="preserve">0</w:t>
            </w:r>
          </w:p>
        </w:tc>
        <w:tc>
          <w:tcPr/>
          <w:p>
            <w:pPr>
              <w:pStyle w:val="Compact"/>
              <w:jc w:val="right"/>
            </w:pPr>
            <w:r>
              <w:t xml:space="preserve">2,237,550</w:t>
            </w:r>
          </w:p>
        </w:tc>
        <w:tc>
          <w:tcPr/>
          <w:p>
            <w:pPr>
              <w:pStyle w:val="Compact"/>
              <w:jc w:val="right"/>
            </w:pPr>
            <w:r>
              <w:t xml:space="preserve">15.16</w:t>
            </w:r>
          </w:p>
        </w:tc>
      </w:tr>
      <w:tr>
        <w:tc>
          <w:tcPr/>
          <w:p>
            <w:pPr>
              <w:pStyle w:val="Compact"/>
              <w:jc w:val="left"/>
            </w:pPr>
            <w:r>
              <w:t xml:space="preserve">Roof</w:t>
            </w:r>
          </w:p>
        </w:tc>
        <w:tc>
          <w:tcPr/>
          <w:p>
            <w:pPr>
              <w:pStyle w:val="Compact"/>
              <w:jc w:val="right"/>
            </w:pPr>
            <w:r>
              <w:t xml:space="preserve">207,020</w:t>
            </w:r>
          </w:p>
        </w:tc>
        <w:tc>
          <w:tcPr/>
          <w:p>
            <w:pPr>
              <w:pStyle w:val="Compact"/>
              <w:jc w:val="right"/>
            </w:pPr>
            <w:r>
              <w:t xml:space="preserve">0</w:t>
            </w:r>
          </w:p>
        </w:tc>
        <w:tc>
          <w:tcPr/>
          <w:p>
            <w:pPr>
              <w:pStyle w:val="Compact"/>
              <w:jc w:val="right"/>
            </w:pPr>
            <w:r>
              <w:t xml:space="preserve">122,360</w:t>
            </w:r>
          </w:p>
        </w:tc>
        <w:tc>
          <w:tcPr/>
          <w:p>
            <w:pPr>
              <w:pStyle w:val="Compact"/>
              <w:jc w:val="right"/>
            </w:pPr>
            <w:r>
              <w:t xml:space="preserve">1,676,830</w:t>
            </w:r>
          </w:p>
        </w:tc>
        <w:tc>
          <w:tcPr/>
          <w:p>
            <w:pPr>
              <w:pStyle w:val="Compact"/>
              <w:jc w:val="right"/>
            </w:pPr>
            <w:r>
              <w:t xml:space="preserve">2,006,210</w:t>
            </w:r>
          </w:p>
        </w:tc>
        <w:tc>
          <w:tcPr/>
          <w:p>
            <w:pPr>
              <w:pStyle w:val="Compact"/>
              <w:jc w:val="right"/>
            </w:pPr>
            <w:r>
              <w:t xml:space="preserve">13.59</w:t>
            </w:r>
          </w:p>
        </w:tc>
      </w:tr>
      <w:tr>
        <w:tc>
          <w:tcPr/>
          <w:p>
            <w:pPr>
              <w:pStyle w:val="Compact"/>
              <w:jc w:val="left"/>
            </w:pPr>
            <w:r>
              <w:t xml:space="preserve">Miscellaneous</w:t>
            </w:r>
          </w:p>
        </w:tc>
        <w:tc>
          <w:tcPr/>
          <w:p>
            <w:pPr>
              <w:pStyle w:val="Compact"/>
              <w:jc w:val="right"/>
            </w:pPr>
            <w:r>
              <w:t xml:space="preserve">917,680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917,680</w:t>
            </w:r>
          </w:p>
        </w:tc>
        <w:tc>
          <w:tcPr/>
          <w:p>
            <w:pPr>
              <w:pStyle w:val="Compact"/>
              <w:jc w:val="right"/>
            </w:pPr>
            <w:r>
              <w:t xml:space="preserve">6.22</w:t>
            </w:r>
          </w:p>
        </w:tc>
      </w:tr>
      <w:tr>
        <w:tc>
          <w:tcPr/>
          <w:p>
            <w:pPr>
              <w:pStyle w:val="Compact"/>
              <w:jc w:val="left"/>
            </w:pPr>
            <w:r>
              <w:t xml:space="preserve">Building</w:t>
            </w:r>
          </w:p>
        </w:tc>
        <w:tc>
          <w:tcPr/>
          <w:p>
            <w:pPr>
              <w:pStyle w:val="Compact"/>
              <w:jc w:val="right"/>
            </w:pPr>
            <w:r>
              <w:t xml:space="preserve">0</w:t>
            </w:r>
          </w:p>
        </w:tc>
        <w:tc>
          <w:tcPr/>
          <w:p>
            <w:pPr>
              <w:pStyle w:val="Compact"/>
              <w:jc w:val="right"/>
            </w:pPr>
            <w:r>
              <w:t xml:space="preserve">0</w:t>
            </w:r>
          </w:p>
        </w:tc>
        <w:tc>
          <w:tcPr/>
          <w:p>
            <w:pPr>
              <w:pStyle w:val="Compact"/>
              <w:jc w:val="right"/>
            </w:pPr>
            <w:r>
              <w:t xml:space="preserve">828,550</w:t>
            </w:r>
          </w:p>
        </w:tc>
        <w:tc>
          <w:tcPr/>
          <w:p>
            <w:pPr>
              <w:pStyle w:val="Compact"/>
              <w:jc w:val="right"/>
            </w:pPr>
            <w:r>
              <w:t xml:space="preserve">0</w:t>
            </w:r>
          </w:p>
        </w:tc>
        <w:tc>
          <w:tcPr/>
          <w:p>
            <w:pPr>
              <w:pStyle w:val="Compact"/>
              <w:jc w:val="right"/>
            </w:pPr>
            <w:r>
              <w:t xml:space="preserve">828,550</w:t>
            </w:r>
          </w:p>
        </w:tc>
        <w:tc>
          <w:tcPr/>
          <w:p>
            <w:pPr>
              <w:pStyle w:val="Compact"/>
              <w:jc w:val="right"/>
            </w:pPr>
            <w:r>
              <w:t xml:space="preserve">5.61</w:t>
            </w:r>
          </w:p>
        </w:tc>
      </w:tr>
      <w:tr>
        <w:tc>
          <w:tcPr/>
          <w:p>
            <w:pPr>
              <w:pStyle w:val="Compact"/>
              <w:jc w:val="left"/>
            </w:pPr>
            <w:r>
              <w:t xml:space="preserve">Electrical</w:t>
            </w:r>
          </w:p>
        </w:tc>
        <w:tc>
          <w:tcPr/>
          <w:p>
            <w:pPr>
              <w:pStyle w:val="Compact"/>
              <w:jc w:val="right"/>
            </w:pPr>
            <w:r>
              <w:t xml:space="preserve">494,340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215,810</w:t>
            </w:r>
          </w:p>
        </w:tc>
        <w:tc>
          <w:tcPr/>
          <w:p>
            <w:pPr>
              <w:pStyle w:val="Compact"/>
              <w:jc w:val="right"/>
            </w:pPr>
            <w:r>
              <w:t xml:space="preserve">710,150</w:t>
            </w:r>
          </w:p>
        </w:tc>
        <w:tc>
          <w:tcPr/>
          <w:p>
            <w:pPr>
              <w:pStyle w:val="Compact"/>
              <w:jc w:val="right"/>
            </w:pPr>
            <w:r>
              <w:t xml:space="preserve">4.81</w:t>
            </w:r>
          </w:p>
        </w:tc>
      </w:tr>
      <w:tr>
        <w:tc>
          <w:tcPr/>
          <w:p>
            <w:pPr>
              <w:pStyle w:val="Compact"/>
              <w:jc w:val="left"/>
            </w:pPr>
            <w:r>
              <w:t xml:space="preserve">Architectural</w:t>
            </w:r>
          </w:p>
        </w:tc>
        <w:tc>
          <w:tcPr/>
          <w:p>
            <w:pPr>
              <w:pStyle w:val="Compact"/>
              <w:jc w:val="right"/>
            </w:pPr>
            <w:r>
              <w:t xml:space="preserve">130,440</w:t>
            </w:r>
          </w:p>
        </w:tc>
        <w:tc>
          <w:tcPr/>
          <w:p>
            <w:pPr>
              <w:pStyle w:val="Compact"/>
              <w:jc w:val="right"/>
            </w:pPr>
            <w:r>
              <w:t xml:space="preserve">74,590</w:t>
            </w:r>
          </w:p>
        </w:tc>
        <w:tc>
          <w:tcPr/>
          <w:p>
            <w:pPr>
              <w:pStyle w:val="Compact"/>
              <w:jc w:val="right"/>
            </w:pPr>
            <w:r>
              <w:t xml:space="preserve">113,020</w:t>
            </w:r>
          </w:p>
        </w:tc>
        <w:tc>
          <w:tcPr/>
          <w:p>
            <w:pPr>
              <w:pStyle w:val="Compact"/>
              <w:jc w:val="right"/>
            </w:pPr>
            <w:r>
              <w:t xml:space="preserve">157,920</w:t>
            </w:r>
          </w:p>
        </w:tc>
        <w:tc>
          <w:tcPr/>
          <w:p>
            <w:pPr>
              <w:pStyle w:val="Compact"/>
              <w:jc w:val="right"/>
            </w:pPr>
            <w:r>
              <w:t xml:space="preserve">475,970</w:t>
            </w:r>
          </w:p>
        </w:tc>
        <w:tc>
          <w:tcPr/>
          <w:p>
            <w:pPr>
              <w:pStyle w:val="Compact"/>
              <w:jc w:val="right"/>
            </w:pPr>
            <w:r>
              <w:t xml:space="preserve">3.22</w:t>
            </w:r>
          </w:p>
        </w:tc>
      </w:tr>
      <w:tr>
        <w:tc>
          <w:tcPr/>
          <w:p>
            <w:pPr>
              <w:pStyle w:val="Compact"/>
              <w:jc w:val="left"/>
            </w:pPr>
            <w:r>
              <w:t xml:space="preserve">Fire Protection</w:t>
            </w:r>
          </w:p>
        </w:tc>
        <w:tc>
          <w:tcPr/>
          <w:p>
            <w:pPr>
              <w:pStyle w:val="Compact"/>
              <w:jc w:val="right"/>
            </w:pPr>
            <w:r>
              <w:t xml:space="preserve">434,040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434,040</w:t>
            </w:r>
          </w:p>
        </w:tc>
        <w:tc>
          <w:tcPr/>
          <w:p>
            <w:pPr>
              <w:pStyle w:val="Compact"/>
              <w:jc w:val="right"/>
            </w:pPr>
            <w:r>
              <w:t xml:space="preserve">2.94</w:t>
            </w:r>
          </w:p>
        </w:tc>
      </w:tr>
      <w:tr>
        <w:tc>
          <w:tcPr/>
          <w:p>
            <w:pPr>
              <w:pStyle w:val="Compact"/>
              <w:jc w:val="left"/>
            </w:pPr>
            <w:r>
              <w:t xml:space="preserve">Plumbing</w:t>
            </w:r>
          </w:p>
        </w:tc>
        <w:tc>
          <w:tcPr/>
          <w:p>
            <w:pPr>
              <w:pStyle w:val="Compact"/>
              <w:jc w:val="right"/>
            </w:pPr>
            <w:r>
              <w:t xml:space="preserve">52,970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52,970</w:t>
            </w:r>
          </w:p>
        </w:tc>
        <w:tc>
          <w:tcPr/>
          <w:p>
            <w:pPr>
              <w:pStyle w:val="Compact"/>
              <w:jc w:val="right"/>
            </w:pPr>
            <w:r>
              <w:t xml:space="preserve">0.36</w:t>
            </w:r>
          </w:p>
        </w:tc>
      </w:tr>
      <w:tr>
        <w:tc>
          <w:tcPr/>
          <w:p>
            <w:pPr>
              <w:pStyle w:val="Compact"/>
              <w:jc w:val="left"/>
            </w:pPr>
            <w:r>
              <w:t xml:space="preserve">Environmental</w:t>
            </w:r>
          </w:p>
        </w:tc>
        <w:tc>
          <w:tcPr/>
          <w:p>
            <w:pPr>
              <w:pStyle w:val="Compact"/>
              <w:jc w:val="right"/>
            </w:pPr>
            <w:r>
              <w:t xml:space="preserve">32,500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32,500</w:t>
            </w:r>
          </w:p>
        </w:tc>
        <w:tc>
          <w:tcPr/>
          <w:p>
            <w:pPr>
              <w:pStyle w:val="Compact"/>
              <w:jc w:val="right"/>
            </w:pPr>
            <w:r>
              <w:t xml:space="preserve">0.22</w:t>
            </w:r>
          </w:p>
        </w:tc>
      </w:tr>
      <w:tr>
        <w:tc>
          <w:tcPr/>
          <w:p>
            <w:pPr>
              <w:pStyle w:val="Compact"/>
              <w:jc w:val="left"/>
            </w:pPr>
            <w:r>
              <w:t xml:space="preserve">All Disciplines</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0.00</w:t>
            </w:r>
          </w:p>
        </w:tc>
      </w:tr>
      <w:tr>
        <w:tc>
          <w:tcPr/>
          <w:p>
            <w:pPr>
              <w:pStyle w:val="Compact"/>
              <w:jc w:val="left"/>
            </w:pPr>
            <w:r>
              <w:t xml:space="preserve">Total</w:t>
            </w:r>
          </w:p>
        </w:tc>
        <w:tc>
          <w:tcPr/>
          <w:p>
            <w:pPr>
              <w:pStyle w:val="Compact"/>
              <w:jc w:val="right"/>
            </w:pPr>
            <w:r>
              <w:t xml:space="preserve">8,436,320</w:t>
            </w:r>
          </w:p>
        </w:tc>
        <w:tc>
          <w:tcPr/>
          <w:p>
            <w:pPr>
              <w:pStyle w:val="Compact"/>
              <w:jc w:val="right"/>
            </w:pPr>
            <w:r>
              <w:t xml:space="preserve">945,930</w:t>
            </w:r>
          </w:p>
        </w:tc>
        <w:tc>
          <w:tcPr/>
          <w:p>
            <w:pPr>
              <w:pStyle w:val="Compact"/>
              <w:jc w:val="right"/>
            </w:pPr>
            <w:r>
              <w:t xml:space="preserve">1,399,020</w:t>
            </w:r>
          </w:p>
        </w:tc>
        <w:tc>
          <w:tcPr/>
          <w:p>
            <w:pPr>
              <w:pStyle w:val="Compact"/>
              <w:jc w:val="right"/>
            </w:pPr>
            <w:r>
              <w:t xml:space="preserve">3,979,950</w:t>
            </w:r>
          </w:p>
        </w:tc>
        <w:tc>
          <w:tcPr/>
          <w:p>
            <w:pPr>
              <w:pStyle w:val="Compact"/>
              <w:jc w:val="right"/>
            </w:pPr>
            <w:r>
              <w:t xml:space="preserve">14,761,220</w:t>
            </w:r>
          </w:p>
        </w:tc>
        <w:tc>
          <w:tcPr/>
          <w:p>
            <w:pPr>
              <w:pStyle w:val="Compact"/>
              <w:jc w:val="right"/>
            </w:pPr>
            <w:r>
              <w:t xml:space="preserve">100.00</w:t>
            </w:r>
          </w:p>
        </w:tc>
      </w:tr>
    </w:tbl>
    <w:p>
      <w:pPr>
        <w:pStyle w:val="BodyText"/>
      </w:pPr>
      <w:r>
        <w:t xml:space="preserve">Clearly shown in the table, cost allocated to structural upgrading and strengthening is significant, especially under immediate term. The cost associated with structural components alone is nearly $3.9 million out of $8.43 millions. Along with it is $2 millions of soft cost, which is basically the expenses used for engineering and construction management activities.</w:t>
      </w:r>
    </w:p>
    <w:p>
      <w:pPr>
        <w:pStyle w:val="BodyText"/>
      </w:pPr>
      <w:r>
        <w:t xml:space="preserve">As discussed in previous section, structural strengthening is mainly due to possible code incompliance and this needs to be verified. If fortunately, major of structure components will satisfy the new code, the Client might save significant CAPEX expenditure for this tenant.</w:t>
      </w:r>
    </w:p>
    <w:p>
      <w:pPr>
        <w:pStyle w:val="BodyText"/>
      </w:pPr>
      <w:r>
        <w:t xml:space="preserve">Other significant costs are with the mechanical and roofing, however, it falls into long-term CAPEX as intervention strategies for those items are mainly contributed by recurrence of replacement and major intervention due to end of services life of assets.</w:t>
      </w:r>
    </w:p>
    <w:p>
      <w:pPr>
        <w:pStyle w:val="BodyText"/>
      </w:pPr>
      <w:r>
        <w:t xml:space="preserve">The soft cost cost includes 10% of preliminaries work, 5% for permitting, and 10% for contingencies. These percentages are of standard values in the local market.</w:t>
      </w:r>
    </w:p>
    <w:p>
      <w:pPr>
        <w:pStyle w:val="BodyText"/>
      </w:pPr>
      <w:r>
        <w:t xml:space="preserve">Figure</w:t>
      </w:r>
      <w:r>
        <w:t xml:space="preserve"> </w:t>
      </w:r>
      <w:r>
        <w:t xml:space="preserve">15</w:t>
      </w:r>
      <w:r>
        <w:t xml:space="preserve"> </w:t>
      </w:r>
      <w:r>
        <w:t xml:space="preserve">presents the yearly CAPEX distribution for this tenant.</w:t>
      </w:r>
    </w:p>
    <w:p>
      <w:pPr>
        <w:pStyle w:val="CaptionedFigure"/>
      </w:pPr>
      <w:r>
        <w:drawing>
          <wp:inline>
            <wp:extent cx="5943600" cy="3566160"/>
            <wp:effectExtent b="0" l="0" r="0" t="0"/>
            <wp:docPr descr="Figure 15: Yearly Distribution of CAPEX - Austal" title="" id="1" name="Picture"/>
            <a:graphic>
              <a:graphicData uri="http://schemas.openxmlformats.org/drawingml/2006/picture">
                <pic:pic>
                  <pic:nvPicPr>
                    <pic:cNvPr descr="../visuals/plot011.png" id="0" name="Picture"/>
                    <pic:cNvPicPr>
                      <a:picLocks noChangeArrowheads="1" noChangeAspect="1"/>
                    </pic:cNvPicPr>
                  </pic:nvPicPr>
                  <pic:blipFill>
                    <a:blip r:embed="rId71"/>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15: Yearly Distribution of CAPEX - Austal</w:t>
      </w:r>
    </w:p>
    <w:p>
      <w:pPr>
        <w:pStyle w:val="BodyText"/>
      </w:pPr>
      <w:r>
        <w:t xml:space="preserve">Since the CAPEX is heavily distributed under structural components, per discussion with the Client, further breakdown into distribution for this item is necessary.</w:t>
      </w:r>
    </w:p>
    <w:p>
      <w:pPr>
        <w:pStyle w:val="BodyText"/>
      </w:pPr>
      <w:r>
        <w:t xml:space="preserve">Table</w:t>
      </w:r>
      <w:r>
        <w:t xml:space="preserve"> </w:t>
      </w:r>
      <w:r>
        <w:t xml:space="preserve">11</w:t>
      </w:r>
      <w:r>
        <w:t xml:space="preserve"> </w:t>
      </w:r>
      <w:r>
        <w:t xml:space="preserve">presents a summary of CAPEX items subjected to structural upgrade</w:t>
      </w:r>
    </w:p>
    <w:p>
      <w:pPr>
        <w:pStyle w:val="TableCaption"/>
      </w:pPr>
      <w:r>
        <w:t xml:space="preserve">Table 11: Austals CAPEX Distribution - Structure</w:t>
      </w:r>
    </w:p>
    <w:tbl>
      <w:tblPr>
        <w:tblStyle w:val="Table"/>
        <w:tblW w:type="pct" w:w="5000"/>
        <w:tblLook w:firstRow="1" w:lastRow="0" w:firstColumn="0" w:lastColumn="0" w:noHBand="0" w:noVBand="0" w:val="0020"/>
        <w:tblCaption w:val="Table 11: Austals CAPEX Distribution - Structure"/>
      </w:tblPr>
      <w:tblGrid>
        <w:gridCol w:w="2704"/>
        <w:gridCol w:w="2897"/>
        <w:gridCol w:w="1352"/>
        <w:gridCol w:w="965"/>
      </w:tblGrid>
      <w:tr>
        <w:trPr>
          <w:tblHeader w:val="true"/>
        </w:trPr>
        <w:tc>
          <w:tcPr/>
          <w:p>
            <w:pPr>
              <w:pStyle w:val="Compact"/>
              <w:jc w:val="left"/>
            </w:pPr>
            <w:r>
              <w:t xml:space="preserve">CAPEXassets</w:t>
            </w:r>
          </w:p>
        </w:tc>
        <w:tc>
          <w:tcPr/>
          <w:p>
            <w:pPr>
              <w:pStyle w:val="Compact"/>
              <w:jc w:val="left"/>
            </w:pPr>
            <w:r>
              <w:t xml:space="preserve">Facilities</w:t>
            </w:r>
          </w:p>
        </w:tc>
        <w:tc>
          <w:tcPr/>
          <w:p>
            <w:pPr>
              <w:pStyle w:val="Compact"/>
              <w:jc w:val="right"/>
            </w:pPr>
            <w:r>
              <w:t xml:space="preserve">NPVCapexUSD</w:t>
            </w:r>
          </w:p>
        </w:tc>
        <w:tc>
          <w:tcPr/>
          <w:p>
            <w:pPr>
              <w:pStyle w:val="Compact"/>
              <w:jc w:val="right"/>
            </w:pPr>
            <w:r>
              <w:t xml:space="preserve">freq</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Assembly shop (B)</w:t>
            </w:r>
          </w:p>
        </w:tc>
        <w:tc>
          <w:tcPr/>
          <w:p>
            <w:pPr>
              <w:pStyle w:val="Compact"/>
              <w:jc w:val="right"/>
            </w:pPr>
            <w:r>
              <w:t xml:space="preserve">795,340</w:t>
            </w:r>
          </w:p>
        </w:tc>
        <w:tc>
          <w:tcPr/>
          <w:p>
            <w:pPr>
              <w:pStyle w:val="Compact"/>
              <w:jc w:val="right"/>
            </w:pPr>
            <w:r>
              <w:t xml:space="preserve">20.360</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Hull Shop (A)</w:t>
            </w:r>
          </w:p>
        </w:tc>
        <w:tc>
          <w:tcPr/>
          <w:p>
            <w:pPr>
              <w:pStyle w:val="Compact"/>
              <w:jc w:val="right"/>
            </w:pPr>
            <w:r>
              <w:t xml:space="preserve">739,930</w:t>
            </w:r>
          </w:p>
        </w:tc>
        <w:tc>
          <w:tcPr/>
          <w:p>
            <w:pPr>
              <w:pStyle w:val="Compact"/>
              <w:jc w:val="right"/>
            </w:pPr>
            <w:r>
              <w:t xml:space="preserve">18.942</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Assembly shop (A)</w:t>
            </w:r>
          </w:p>
        </w:tc>
        <w:tc>
          <w:tcPr/>
          <w:p>
            <w:pPr>
              <w:pStyle w:val="Compact"/>
              <w:jc w:val="right"/>
            </w:pPr>
            <w:r>
              <w:t xml:space="preserve">537,060</w:t>
            </w:r>
          </w:p>
        </w:tc>
        <w:tc>
          <w:tcPr/>
          <w:p>
            <w:pPr>
              <w:pStyle w:val="Compact"/>
              <w:jc w:val="right"/>
            </w:pPr>
            <w:r>
              <w:t xml:space="preserve">13.749</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Pre-erection area (6 nos) -</w:t>
            </w:r>
            <w:r>
              <w:t xml:space="preserve"> </w:t>
            </w:r>
            <w:r>
              <w:t xml:space="preserve">No. 5 Dock Shelter</w:t>
            </w:r>
          </w:p>
        </w:tc>
        <w:tc>
          <w:tcPr/>
          <w:p>
            <w:pPr>
              <w:pStyle w:val="Compact"/>
              <w:jc w:val="right"/>
            </w:pPr>
            <w:r>
              <w:t xml:space="preserve">337,650</w:t>
            </w:r>
          </w:p>
        </w:tc>
        <w:tc>
          <w:tcPr/>
          <w:p>
            <w:pPr>
              <w:pStyle w:val="Compact"/>
              <w:jc w:val="right"/>
            </w:pPr>
            <w:r>
              <w:t xml:space="preserve">8.644</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Sub Assembly Shop</w:t>
            </w:r>
          </w:p>
        </w:tc>
        <w:tc>
          <w:tcPr/>
          <w:p>
            <w:pPr>
              <w:pStyle w:val="Compact"/>
              <w:jc w:val="right"/>
            </w:pPr>
            <w:r>
              <w:t xml:space="preserve">305,100</w:t>
            </w:r>
          </w:p>
        </w:tc>
        <w:tc>
          <w:tcPr/>
          <w:p>
            <w:pPr>
              <w:pStyle w:val="Compact"/>
              <w:jc w:val="right"/>
            </w:pPr>
            <w:r>
              <w:t xml:space="preserve">7.810</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Blasting &amp; Painting Shop B</w:t>
            </w:r>
          </w:p>
        </w:tc>
        <w:tc>
          <w:tcPr/>
          <w:p>
            <w:pPr>
              <w:pStyle w:val="Compact"/>
              <w:jc w:val="right"/>
            </w:pPr>
            <w:r>
              <w:t xml:space="preserve">272,460</w:t>
            </w:r>
          </w:p>
        </w:tc>
        <w:tc>
          <w:tcPr/>
          <w:p>
            <w:pPr>
              <w:pStyle w:val="Compact"/>
              <w:jc w:val="right"/>
            </w:pPr>
            <w:r>
              <w:t xml:space="preserve">6.975</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Assembly shelter (6 nos)</w:t>
            </w:r>
          </w:p>
        </w:tc>
        <w:tc>
          <w:tcPr/>
          <w:p>
            <w:pPr>
              <w:pStyle w:val="Compact"/>
              <w:jc w:val="right"/>
            </w:pPr>
            <w:r>
              <w:t xml:space="preserve">261,890</w:t>
            </w:r>
          </w:p>
        </w:tc>
        <w:tc>
          <w:tcPr/>
          <w:p>
            <w:pPr>
              <w:pStyle w:val="Compact"/>
              <w:jc w:val="right"/>
            </w:pPr>
            <w:r>
              <w:t xml:space="preserve">6.704</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Pre-Outfitting Shop (A)</w:t>
            </w:r>
          </w:p>
        </w:tc>
        <w:tc>
          <w:tcPr/>
          <w:p>
            <w:pPr>
              <w:pStyle w:val="Compact"/>
              <w:jc w:val="right"/>
            </w:pPr>
            <w:r>
              <w:t xml:space="preserve">172,650</w:t>
            </w:r>
          </w:p>
        </w:tc>
        <w:tc>
          <w:tcPr/>
          <w:p>
            <w:pPr>
              <w:pStyle w:val="Compact"/>
              <w:jc w:val="right"/>
            </w:pPr>
            <w:r>
              <w:t xml:space="preserve">4.420</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Outfitting Shop</w:t>
            </w:r>
          </w:p>
        </w:tc>
        <w:tc>
          <w:tcPr/>
          <w:p>
            <w:pPr>
              <w:pStyle w:val="Compact"/>
              <w:jc w:val="right"/>
            </w:pPr>
            <w:r>
              <w:t xml:space="preserve">131,770</w:t>
            </w:r>
          </w:p>
        </w:tc>
        <w:tc>
          <w:tcPr/>
          <w:p>
            <w:pPr>
              <w:pStyle w:val="Compact"/>
              <w:jc w:val="right"/>
            </w:pPr>
            <w:r>
              <w:t xml:space="preserve">3.373</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Welding Inspection Shop</w:t>
            </w:r>
          </w:p>
        </w:tc>
        <w:tc>
          <w:tcPr/>
          <w:p>
            <w:pPr>
              <w:pStyle w:val="Compact"/>
              <w:jc w:val="right"/>
            </w:pPr>
            <w:r>
              <w:t xml:space="preserve">98,040</w:t>
            </w:r>
          </w:p>
        </w:tc>
        <w:tc>
          <w:tcPr/>
          <w:p>
            <w:pPr>
              <w:pStyle w:val="Compact"/>
              <w:jc w:val="right"/>
            </w:pPr>
            <w:r>
              <w:t xml:space="preserve">2.510</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No.5 Dock Shelter</w:t>
            </w:r>
          </w:p>
        </w:tc>
        <w:tc>
          <w:tcPr/>
          <w:p>
            <w:pPr>
              <w:pStyle w:val="Compact"/>
              <w:jc w:val="right"/>
            </w:pPr>
            <w:r>
              <w:t xml:space="preserve">97,060</w:t>
            </w:r>
          </w:p>
        </w:tc>
        <w:tc>
          <w:tcPr/>
          <w:p>
            <w:pPr>
              <w:pStyle w:val="Compact"/>
              <w:jc w:val="right"/>
            </w:pPr>
            <w:r>
              <w:t xml:space="preserve">2.485</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Pre Treatment Shop A</w:t>
            </w:r>
          </w:p>
        </w:tc>
        <w:tc>
          <w:tcPr/>
          <w:p>
            <w:pPr>
              <w:pStyle w:val="Compact"/>
              <w:jc w:val="right"/>
            </w:pPr>
            <w:r>
              <w:t xml:space="preserve">91,420</w:t>
            </w:r>
          </w:p>
        </w:tc>
        <w:tc>
          <w:tcPr/>
          <w:p>
            <w:pPr>
              <w:pStyle w:val="Compact"/>
              <w:jc w:val="right"/>
            </w:pPr>
            <w:r>
              <w:t xml:space="preserve">2.340</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Pre Treatment Shop B</w:t>
            </w:r>
          </w:p>
        </w:tc>
        <w:tc>
          <w:tcPr/>
          <w:p>
            <w:pPr>
              <w:pStyle w:val="Compact"/>
              <w:jc w:val="right"/>
            </w:pPr>
            <w:r>
              <w:t xml:space="preserve">65,930</w:t>
            </w:r>
          </w:p>
        </w:tc>
        <w:tc>
          <w:tcPr/>
          <w:p>
            <w:pPr>
              <w:pStyle w:val="Compact"/>
              <w:jc w:val="right"/>
            </w:pPr>
            <w:r>
              <w:t xml:space="preserve">1.688</w:t>
            </w:r>
          </w:p>
        </w:tc>
      </w:tr>
      <w:tr>
        <w:tc>
          <w:tcPr/>
          <w:p>
            <w:pPr>
              <w:pStyle w:val="Compact"/>
              <w:jc w:val="left"/>
            </w:pPr>
            <w:r>
              <w:t xml:space="preserve">Total</w:t>
            </w:r>
          </w:p>
        </w:tc>
        <w:tc>
          <w:tcPr/>
          <w:p>
            <w:pPr>
              <w:pStyle w:val="Compact"/>
              <w:jc w:val="left"/>
            </w:pPr>
            <w:r>
              <w:t xml:space="preserve">-</w:t>
            </w:r>
          </w:p>
        </w:tc>
        <w:tc>
          <w:tcPr/>
          <w:p>
            <w:pPr>
              <w:pStyle w:val="Compact"/>
              <w:jc w:val="right"/>
            </w:pPr>
            <w:r>
              <w:t xml:space="preserve">3,906,300</w:t>
            </w:r>
          </w:p>
        </w:tc>
        <w:tc>
          <w:tcPr/>
          <w:p>
            <w:pPr>
              <w:pStyle w:val="Compact"/>
              <w:jc w:val="right"/>
            </w:pPr>
            <w:r>
              <w:t xml:space="preserve">100.000</w:t>
            </w:r>
          </w:p>
        </w:tc>
      </w:tr>
    </w:tbl>
    <w:p>
      <w:pPr>
        <w:pStyle w:val="BodyText"/>
      </w:pPr>
      <w:r>
        <w:t xml:space="preserve">Table</w:t>
      </w:r>
      <w:r>
        <w:t xml:space="preserve"> </w:t>
      </w:r>
      <w:r>
        <w:t xml:space="preserve">12</w:t>
      </w:r>
      <w:r>
        <w:t xml:space="preserve"> </w:t>
      </w:r>
      <w:r>
        <w:t xml:space="preserve">presents a summary of CAPEX items subjected to Miscellaneous.</w:t>
      </w:r>
    </w:p>
    <w:p>
      <w:pPr>
        <w:pStyle w:val="TableCaption"/>
      </w:pPr>
      <w:r>
        <w:t xml:space="preserve">Table 12: Austal CAPEX Distribution - Miscellaneous</w:t>
      </w:r>
    </w:p>
    <w:tbl>
      <w:tblPr>
        <w:tblStyle w:val="Table"/>
        <w:tblW w:type="pct" w:w="5000"/>
        <w:tblLook w:firstRow="1" w:lastRow="0" w:firstColumn="0" w:lastColumn="0" w:noHBand="0" w:noVBand="0" w:val="0020"/>
        <w:tblCaption w:val="Table 12: Austal CAPEX Distribution - Miscellaneous"/>
      </w:tblPr>
      <w:tblGrid>
        <w:gridCol w:w="2424"/>
        <w:gridCol w:w="969"/>
        <w:gridCol w:w="969"/>
        <w:gridCol w:w="1050"/>
        <w:gridCol w:w="888"/>
        <w:gridCol w:w="808"/>
        <w:gridCol w:w="808"/>
      </w:tblGrid>
      <w:tr>
        <w:trPr>
          <w:tblHeader w:val="true"/>
        </w:trPr>
        <w:tc>
          <w:tcPr/>
          <w:p>
            <w:pPr>
              <w:pStyle w:val="Compact"/>
              <w:jc w:val="left"/>
            </w:pPr>
            <w:r>
              <w:t xml:space="preserve">Facilities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Pre-erection area (6 nos) -</w:t>
            </w:r>
            <w:r>
              <w:t xml:space="preserve"> </w:t>
            </w:r>
            <w:r>
              <w:t xml:space="preserve">No. 5 Dock Shelter</w:t>
            </w:r>
          </w:p>
        </w:tc>
        <w:tc>
          <w:tcPr/>
          <w:p>
            <w:pPr>
              <w:pStyle w:val="Compact"/>
              <w:jc w:val="right"/>
            </w:pPr>
            <w:r>
              <w:t xml:space="preserve">84,420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84,420</w:t>
            </w:r>
          </w:p>
        </w:tc>
        <w:tc>
          <w:tcPr/>
          <w:p>
            <w:pPr>
              <w:pStyle w:val="Compact"/>
              <w:jc w:val="right"/>
            </w:pPr>
            <w:r>
              <w:t xml:space="preserve">9.20</w:t>
            </w:r>
          </w:p>
        </w:tc>
      </w:tr>
      <w:tr>
        <w:tc>
          <w:tcPr/>
          <w:p>
            <w:pPr>
              <w:pStyle w:val="Compact"/>
              <w:jc w:val="left"/>
            </w:pPr>
            <w:r>
              <w:t xml:space="preserve">Hull Shop (A)</w:t>
            </w:r>
          </w:p>
        </w:tc>
        <w:tc>
          <w:tcPr/>
          <w:p>
            <w:pPr>
              <w:pStyle w:val="Compact"/>
              <w:jc w:val="right"/>
            </w:pPr>
            <w:r>
              <w:t xml:space="preserve">79,180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79,180</w:t>
            </w:r>
          </w:p>
        </w:tc>
        <w:tc>
          <w:tcPr/>
          <w:p>
            <w:pPr>
              <w:pStyle w:val="Compact"/>
              <w:jc w:val="right"/>
            </w:pPr>
            <w:r>
              <w:t xml:space="preserve">8.63</w:t>
            </w:r>
          </w:p>
        </w:tc>
      </w:tr>
      <w:tr>
        <w:tc>
          <w:tcPr/>
          <w:p>
            <w:pPr>
              <w:pStyle w:val="Compact"/>
              <w:jc w:val="left"/>
            </w:pPr>
            <w:r>
              <w:t xml:space="preserve">Assembly shop (A)</w:t>
            </w:r>
          </w:p>
        </w:tc>
        <w:tc>
          <w:tcPr/>
          <w:p>
            <w:pPr>
              <w:pStyle w:val="Compact"/>
              <w:jc w:val="right"/>
            </w:pPr>
            <w:r>
              <w:t xml:space="preserve">56,930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56,930</w:t>
            </w:r>
          </w:p>
        </w:tc>
        <w:tc>
          <w:tcPr/>
          <w:p>
            <w:pPr>
              <w:pStyle w:val="Compact"/>
              <w:jc w:val="right"/>
            </w:pPr>
            <w:r>
              <w:t xml:space="preserve">6.20</w:t>
            </w:r>
          </w:p>
        </w:tc>
      </w:tr>
      <w:tr>
        <w:tc>
          <w:tcPr/>
          <w:p>
            <w:pPr>
              <w:pStyle w:val="Compact"/>
              <w:jc w:val="left"/>
            </w:pPr>
            <w:r>
              <w:t xml:space="preserve">No.5 Dock Shelter</w:t>
            </w:r>
          </w:p>
        </w:tc>
        <w:tc>
          <w:tcPr/>
          <w:p>
            <w:pPr>
              <w:pStyle w:val="Compact"/>
              <w:jc w:val="right"/>
            </w:pPr>
            <w:r>
              <w:t xml:space="preserve">48,530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48,530</w:t>
            </w:r>
          </w:p>
        </w:tc>
        <w:tc>
          <w:tcPr/>
          <w:p>
            <w:pPr>
              <w:pStyle w:val="Compact"/>
              <w:jc w:val="right"/>
            </w:pPr>
            <w:r>
              <w:t xml:space="preserve">5.29</w:t>
            </w:r>
          </w:p>
        </w:tc>
      </w:tr>
      <w:tr>
        <w:tc>
          <w:tcPr/>
          <w:p>
            <w:pPr>
              <w:pStyle w:val="Compact"/>
              <w:jc w:val="left"/>
            </w:pPr>
            <w:r>
              <w:t xml:space="preserve">Sub station #12</w:t>
            </w:r>
          </w:p>
        </w:tc>
        <w:tc>
          <w:tcPr/>
          <w:p>
            <w:pPr>
              <w:pStyle w:val="Compact"/>
              <w:jc w:val="right"/>
            </w:pPr>
            <w:r>
              <w:t xml:space="preserve">43,240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43,240</w:t>
            </w:r>
          </w:p>
        </w:tc>
        <w:tc>
          <w:tcPr/>
          <w:p>
            <w:pPr>
              <w:pStyle w:val="Compact"/>
              <w:jc w:val="right"/>
            </w:pPr>
            <w:r>
              <w:t xml:space="preserve">4.71</w:t>
            </w:r>
          </w:p>
        </w:tc>
      </w:tr>
      <w:tr>
        <w:tc>
          <w:tcPr/>
          <w:p>
            <w:pPr>
              <w:pStyle w:val="Compact"/>
              <w:jc w:val="left"/>
            </w:pPr>
            <w:r>
              <w:t xml:space="preserve">Assembly shop (B)</w:t>
            </w:r>
          </w:p>
        </w:tc>
        <w:tc>
          <w:tcPr/>
          <w:p>
            <w:pPr>
              <w:pStyle w:val="Compact"/>
              <w:jc w:val="right"/>
            </w:pPr>
            <w:r>
              <w:t xml:space="preserve">40,570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40,570</w:t>
            </w:r>
          </w:p>
        </w:tc>
        <w:tc>
          <w:tcPr/>
          <w:p>
            <w:pPr>
              <w:pStyle w:val="Compact"/>
              <w:jc w:val="right"/>
            </w:pPr>
            <w:r>
              <w:t xml:space="preserve">4.42</w:t>
            </w:r>
          </w:p>
        </w:tc>
      </w:tr>
      <w:tr>
        <w:tc>
          <w:tcPr/>
          <w:p>
            <w:pPr>
              <w:pStyle w:val="Compact"/>
              <w:jc w:val="left"/>
            </w:pPr>
            <w:r>
              <w:t xml:space="preserve">Sub Station #14</w:t>
            </w:r>
          </w:p>
        </w:tc>
        <w:tc>
          <w:tcPr/>
          <w:p>
            <w:pPr>
              <w:pStyle w:val="Compact"/>
              <w:jc w:val="right"/>
            </w:pPr>
            <w:r>
              <w:t xml:space="preserve">36,000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36,000</w:t>
            </w:r>
          </w:p>
        </w:tc>
        <w:tc>
          <w:tcPr/>
          <w:p>
            <w:pPr>
              <w:pStyle w:val="Compact"/>
              <w:jc w:val="right"/>
            </w:pPr>
            <w:r>
              <w:t xml:space="preserve">3.92</w:t>
            </w:r>
          </w:p>
        </w:tc>
      </w:tr>
      <w:tr>
        <w:tc>
          <w:tcPr/>
          <w:p>
            <w:pPr>
              <w:pStyle w:val="Compact"/>
              <w:jc w:val="left"/>
            </w:pPr>
            <w:r>
              <w:t xml:space="preserve">Sub Assembly Shop</w:t>
            </w:r>
          </w:p>
        </w:tc>
        <w:tc>
          <w:tcPr/>
          <w:p>
            <w:pPr>
              <w:pStyle w:val="Compact"/>
              <w:jc w:val="right"/>
            </w:pPr>
            <w:r>
              <w:t xml:space="preserve">31,740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31,740</w:t>
            </w:r>
          </w:p>
        </w:tc>
        <w:tc>
          <w:tcPr/>
          <w:p>
            <w:pPr>
              <w:pStyle w:val="Compact"/>
              <w:jc w:val="right"/>
            </w:pPr>
            <w:r>
              <w:t xml:space="preserve">3.46</w:t>
            </w:r>
          </w:p>
        </w:tc>
      </w:tr>
      <w:tr>
        <w:tc>
          <w:tcPr/>
          <w:p>
            <w:pPr>
              <w:pStyle w:val="Compact"/>
              <w:jc w:val="left"/>
            </w:pPr>
            <w:r>
              <w:t xml:space="preserve">Field Office 1</w:t>
            </w:r>
          </w:p>
        </w:tc>
        <w:tc>
          <w:tcPr/>
          <w:p>
            <w:pPr>
              <w:pStyle w:val="Compact"/>
              <w:jc w:val="right"/>
            </w:pPr>
            <w:r>
              <w:t xml:space="preserve">31,430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31,430</w:t>
            </w:r>
          </w:p>
        </w:tc>
        <w:tc>
          <w:tcPr/>
          <w:p>
            <w:pPr>
              <w:pStyle w:val="Compact"/>
              <w:jc w:val="right"/>
            </w:pPr>
            <w:r>
              <w:t xml:space="preserve">3.42</w:t>
            </w:r>
          </w:p>
        </w:tc>
      </w:tr>
      <w:tr>
        <w:tc>
          <w:tcPr/>
          <w:p>
            <w:pPr>
              <w:pStyle w:val="Compact"/>
              <w:jc w:val="left"/>
            </w:pPr>
            <w:r>
              <w:t xml:space="preserve">Assembly shelter (6 nos)</w:t>
            </w:r>
          </w:p>
        </w:tc>
        <w:tc>
          <w:tcPr/>
          <w:p>
            <w:pPr>
              <w:pStyle w:val="Compact"/>
              <w:jc w:val="right"/>
            </w:pPr>
            <w:r>
              <w:t xml:space="preserve">30,560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30,560</w:t>
            </w:r>
          </w:p>
        </w:tc>
        <w:tc>
          <w:tcPr/>
          <w:p>
            <w:pPr>
              <w:pStyle w:val="Compact"/>
              <w:jc w:val="right"/>
            </w:pPr>
            <w:r>
              <w:t xml:space="preserve">3.33</w:t>
            </w:r>
          </w:p>
        </w:tc>
      </w:tr>
      <w:tr>
        <w:tc>
          <w:tcPr/>
          <w:p>
            <w:pPr>
              <w:pStyle w:val="Compact"/>
              <w:jc w:val="left"/>
            </w:pPr>
            <w:r>
              <w:t xml:space="preserve">Tool Shop</w:t>
            </w:r>
          </w:p>
        </w:tc>
        <w:tc>
          <w:tcPr/>
          <w:p>
            <w:pPr>
              <w:pStyle w:val="Compact"/>
              <w:jc w:val="right"/>
            </w:pPr>
            <w:r>
              <w:t xml:space="preserve">28,980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28,980</w:t>
            </w:r>
          </w:p>
        </w:tc>
        <w:tc>
          <w:tcPr/>
          <w:p>
            <w:pPr>
              <w:pStyle w:val="Compact"/>
              <w:jc w:val="right"/>
            </w:pPr>
            <w:r>
              <w:t xml:space="preserve">3.16</w:t>
            </w:r>
          </w:p>
        </w:tc>
      </w:tr>
      <w:tr>
        <w:tc>
          <w:tcPr/>
          <w:p>
            <w:pPr>
              <w:pStyle w:val="Compact"/>
              <w:jc w:val="left"/>
            </w:pPr>
            <w:r>
              <w:t xml:space="preserve">Outfitting Shop</w:t>
            </w:r>
          </w:p>
        </w:tc>
        <w:tc>
          <w:tcPr/>
          <w:p>
            <w:pPr>
              <w:pStyle w:val="Compact"/>
              <w:jc w:val="right"/>
            </w:pPr>
            <w:r>
              <w:t xml:space="preserve">28,550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28,550</w:t>
            </w:r>
          </w:p>
        </w:tc>
        <w:tc>
          <w:tcPr/>
          <w:p>
            <w:pPr>
              <w:pStyle w:val="Compact"/>
              <w:jc w:val="right"/>
            </w:pPr>
            <w:r>
              <w:t xml:space="preserve">3.11</w:t>
            </w:r>
          </w:p>
        </w:tc>
      </w:tr>
      <w:tr>
        <w:tc>
          <w:tcPr/>
          <w:p>
            <w:pPr>
              <w:pStyle w:val="Compact"/>
              <w:jc w:val="left"/>
            </w:pPr>
            <w:r>
              <w:t xml:space="preserve">Blasting &amp; Painting Shop B</w:t>
            </w:r>
          </w:p>
        </w:tc>
        <w:tc>
          <w:tcPr/>
          <w:p>
            <w:pPr>
              <w:pStyle w:val="Compact"/>
              <w:jc w:val="right"/>
            </w:pPr>
            <w:r>
              <w:t xml:space="preserve">27,250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27,250</w:t>
            </w:r>
          </w:p>
        </w:tc>
        <w:tc>
          <w:tcPr/>
          <w:p>
            <w:pPr>
              <w:pStyle w:val="Compact"/>
              <w:jc w:val="right"/>
            </w:pPr>
            <w:r>
              <w:t xml:space="preserve">2.97</w:t>
            </w:r>
          </w:p>
        </w:tc>
      </w:tr>
      <w:tr>
        <w:tc>
          <w:tcPr/>
          <w:p>
            <w:pPr>
              <w:pStyle w:val="Compact"/>
              <w:jc w:val="left"/>
            </w:pPr>
            <w:r>
              <w:t xml:space="preserve">Sub station #17</w:t>
            </w:r>
          </w:p>
        </w:tc>
        <w:tc>
          <w:tcPr/>
          <w:p>
            <w:pPr>
              <w:pStyle w:val="Compact"/>
              <w:jc w:val="right"/>
            </w:pPr>
            <w:r>
              <w:t xml:space="preserve">27,060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27,060</w:t>
            </w:r>
          </w:p>
        </w:tc>
        <w:tc>
          <w:tcPr/>
          <w:p>
            <w:pPr>
              <w:pStyle w:val="Compact"/>
              <w:jc w:val="right"/>
            </w:pPr>
            <w:r>
              <w:t xml:space="preserve">2.95</w:t>
            </w:r>
          </w:p>
        </w:tc>
      </w:tr>
      <w:tr>
        <w:tc>
          <w:tcPr/>
          <w:p>
            <w:pPr>
              <w:pStyle w:val="Compact"/>
              <w:jc w:val="left"/>
            </w:pPr>
            <w:r>
              <w:t xml:space="preserve">Field Office 8</w:t>
            </w:r>
          </w:p>
        </w:tc>
        <w:tc>
          <w:tcPr/>
          <w:p>
            <w:pPr>
              <w:pStyle w:val="Compact"/>
              <w:jc w:val="right"/>
            </w:pPr>
            <w:r>
              <w:t xml:space="preserve">25,600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25,600</w:t>
            </w:r>
          </w:p>
        </w:tc>
        <w:tc>
          <w:tcPr/>
          <w:p>
            <w:pPr>
              <w:pStyle w:val="Compact"/>
              <w:jc w:val="right"/>
            </w:pPr>
            <w:r>
              <w:t xml:space="preserve">2.79</w:t>
            </w:r>
          </w:p>
        </w:tc>
      </w:tr>
      <w:tr>
        <w:tc>
          <w:tcPr/>
          <w:p>
            <w:pPr>
              <w:pStyle w:val="Compact"/>
              <w:jc w:val="left"/>
            </w:pPr>
            <w:r>
              <w:t xml:space="preserve">Field Office 2A</w:t>
            </w:r>
          </w:p>
        </w:tc>
        <w:tc>
          <w:tcPr/>
          <w:p>
            <w:pPr>
              <w:pStyle w:val="Compact"/>
              <w:jc w:val="right"/>
            </w:pPr>
            <w:r>
              <w:t xml:space="preserve">22,600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22,600</w:t>
            </w:r>
          </w:p>
        </w:tc>
        <w:tc>
          <w:tcPr/>
          <w:p>
            <w:pPr>
              <w:pStyle w:val="Compact"/>
              <w:jc w:val="right"/>
            </w:pPr>
            <w:r>
              <w:t xml:space="preserve">2.46</w:t>
            </w:r>
          </w:p>
        </w:tc>
      </w:tr>
      <w:tr>
        <w:tc>
          <w:tcPr/>
          <w:p>
            <w:pPr>
              <w:pStyle w:val="Compact"/>
              <w:jc w:val="left"/>
            </w:pPr>
            <w:r>
              <w:t xml:space="preserve">Field Office 2</w:t>
            </w:r>
          </w:p>
        </w:tc>
        <w:tc>
          <w:tcPr/>
          <w:p>
            <w:pPr>
              <w:pStyle w:val="Compact"/>
              <w:jc w:val="right"/>
            </w:pPr>
            <w:r>
              <w:t xml:space="preserve">22,470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22,470</w:t>
            </w:r>
          </w:p>
        </w:tc>
        <w:tc>
          <w:tcPr/>
          <w:p>
            <w:pPr>
              <w:pStyle w:val="Compact"/>
              <w:jc w:val="right"/>
            </w:pPr>
            <w:r>
              <w:t xml:space="preserve">2.45</w:t>
            </w:r>
          </w:p>
        </w:tc>
      </w:tr>
      <w:tr>
        <w:tc>
          <w:tcPr/>
          <w:p>
            <w:pPr>
              <w:pStyle w:val="Compact"/>
              <w:jc w:val="left"/>
            </w:pPr>
            <w:r>
              <w:t xml:space="preserve">Sub Station #13</w:t>
            </w:r>
          </w:p>
        </w:tc>
        <w:tc>
          <w:tcPr/>
          <w:p>
            <w:pPr>
              <w:pStyle w:val="Compact"/>
              <w:jc w:val="right"/>
            </w:pPr>
            <w:r>
              <w:t xml:space="preserve">21,830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21,830</w:t>
            </w:r>
          </w:p>
        </w:tc>
        <w:tc>
          <w:tcPr/>
          <w:p>
            <w:pPr>
              <w:pStyle w:val="Compact"/>
              <w:jc w:val="right"/>
            </w:pPr>
            <w:r>
              <w:t xml:space="preserve">2.38</w:t>
            </w:r>
          </w:p>
        </w:tc>
      </w:tr>
      <w:tr>
        <w:tc>
          <w:tcPr/>
          <w:p>
            <w:pPr>
              <w:pStyle w:val="Compact"/>
              <w:jc w:val="left"/>
            </w:pPr>
            <w:r>
              <w:t xml:space="preserve">Sub Station #9</w:t>
            </w:r>
          </w:p>
        </w:tc>
        <w:tc>
          <w:tcPr/>
          <w:p>
            <w:pPr>
              <w:pStyle w:val="Compact"/>
              <w:jc w:val="right"/>
            </w:pPr>
            <w:r>
              <w:t xml:space="preserve">21,180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21,180</w:t>
            </w:r>
          </w:p>
        </w:tc>
        <w:tc>
          <w:tcPr/>
          <w:p>
            <w:pPr>
              <w:pStyle w:val="Compact"/>
              <w:jc w:val="right"/>
            </w:pPr>
            <w:r>
              <w:t xml:space="preserve">2.31</w:t>
            </w:r>
          </w:p>
        </w:tc>
      </w:tr>
      <w:tr>
        <w:tc>
          <w:tcPr/>
          <w:p>
            <w:pPr>
              <w:pStyle w:val="Compact"/>
              <w:jc w:val="left"/>
            </w:pPr>
            <w:r>
              <w:t xml:space="preserve">Sub Station #15</w:t>
            </w:r>
          </w:p>
        </w:tc>
        <w:tc>
          <w:tcPr/>
          <w:p>
            <w:pPr>
              <w:pStyle w:val="Compact"/>
              <w:jc w:val="right"/>
            </w:pPr>
            <w:r>
              <w:t xml:space="preserve">19,530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19,530</w:t>
            </w:r>
          </w:p>
        </w:tc>
        <w:tc>
          <w:tcPr/>
          <w:p>
            <w:pPr>
              <w:pStyle w:val="Compact"/>
              <w:jc w:val="right"/>
            </w:pPr>
            <w:r>
              <w:t xml:space="preserve">2.13</w:t>
            </w:r>
          </w:p>
        </w:tc>
      </w:tr>
      <w:tr>
        <w:tc>
          <w:tcPr/>
          <w:p>
            <w:pPr>
              <w:pStyle w:val="Compact"/>
              <w:jc w:val="left"/>
            </w:pPr>
            <w:r>
              <w:t xml:space="preserve">Sub station #20</w:t>
            </w:r>
          </w:p>
        </w:tc>
        <w:tc>
          <w:tcPr/>
          <w:p>
            <w:pPr>
              <w:pStyle w:val="Compact"/>
              <w:jc w:val="right"/>
            </w:pPr>
            <w:r>
              <w:t xml:space="preserve">19,120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19,120</w:t>
            </w:r>
          </w:p>
        </w:tc>
        <w:tc>
          <w:tcPr/>
          <w:p>
            <w:pPr>
              <w:pStyle w:val="Compact"/>
              <w:jc w:val="right"/>
            </w:pPr>
            <w:r>
              <w:t xml:space="preserve">2.08</w:t>
            </w:r>
          </w:p>
        </w:tc>
      </w:tr>
      <w:tr>
        <w:tc>
          <w:tcPr/>
          <w:p>
            <w:pPr>
              <w:pStyle w:val="Compact"/>
              <w:jc w:val="left"/>
            </w:pPr>
            <w:r>
              <w:t xml:space="preserve">Field Office 7</w:t>
            </w:r>
          </w:p>
        </w:tc>
        <w:tc>
          <w:tcPr/>
          <w:p>
            <w:pPr>
              <w:pStyle w:val="Compact"/>
              <w:jc w:val="right"/>
            </w:pPr>
            <w:r>
              <w:t xml:space="preserve">19,080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19,080</w:t>
            </w:r>
          </w:p>
        </w:tc>
        <w:tc>
          <w:tcPr/>
          <w:p>
            <w:pPr>
              <w:pStyle w:val="Compact"/>
              <w:jc w:val="right"/>
            </w:pPr>
            <w:r>
              <w:t xml:space="preserve">2.08</w:t>
            </w:r>
          </w:p>
        </w:tc>
      </w:tr>
      <w:tr>
        <w:tc>
          <w:tcPr/>
          <w:p>
            <w:pPr>
              <w:pStyle w:val="Compact"/>
              <w:jc w:val="left"/>
            </w:pPr>
            <w:r>
              <w:t xml:space="preserve">Field Office 6</w:t>
            </w:r>
          </w:p>
        </w:tc>
        <w:tc>
          <w:tcPr/>
          <w:p>
            <w:pPr>
              <w:pStyle w:val="Compact"/>
              <w:jc w:val="right"/>
            </w:pPr>
            <w:r>
              <w:t xml:space="preserve">18,520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18,520</w:t>
            </w:r>
          </w:p>
        </w:tc>
        <w:tc>
          <w:tcPr/>
          <w:p>
            <w:pPr>
              <w:pStyle w:val="Compact"/>
              <w:jc w:val="right"/>
            </w:pPr>
            <w:r>
              <w:t xml:space="preserve">2.02</w:t>
            </w:r>
          </w:p>
        </w:tc>
      </w:tr>
      <w:tr>
        <w:tc>
          <w:tcPr/>
          <w:p>
            <w:pPr>
              <w:pStyle w:val="Compact"/>
              <w:jc w:val="left"/>
            </w:pPr>
            <w:r>
              <w:t xml:space="preserve">Pre-Outfitting Shop (A)</w:t>
            </w:r>
          </w:p>
        </w:tc>
        <w:tc>
          <w:tcPr/>
          <w:p>
            <w:pPr>
              <w:pStyle w:val="Compact"/>
              <w:jc w:val="right"/>
            </w:pPr>
            <w:r>
              <w:t xml:space="preserve">17,620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17,620</w:t>
            </w:r>
          </w:p>
        </w:tc>
        <w:tc>
          <w:tcPr/>
          <w:p>
            <w:pPr>
              <w:pStyle w:val="Compact"/>
              <w:jc w:val="right"/>
            </w:pPr>
            <w:r>
              <w:t xml:space="preserve">1.92</w:t>
            </w:r>
          </w:p>
        </w:tc>
      </w:tr>
      <w:tr>
        <w:tc>
          <w:tcPr/>
          <w:p>
            <w:pPr>
              <w:pStyle w:val="Compact"/>
              <w:jc w:val="left"/>
            </w:pPr>
            <w:r>
              <w:t xml:space="preserve">Sub station #11</w:t>
            </w:r>
          </w:p>
        </w:tc>
        <w:tc>
          <w:tcPr/>
          <w:p>
            <w:pPr>
              <w:pStyle w:val="Compact"/>
              <w:jc w:val="right"/>
            </w:pPr>
            <w:r>
              <w:t xml:space="preserve">15,690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15,690</w:t>
            </w:r>
          </w:p>
        </w:tc>
        <w:tc>
          <w:tcPr/>
          <w:p>
            <w:pPr>
              <w:pStyle w:val="Compact"/>
              <w:jc w:val="right"/>
            </w:pPr>
            <w:r>
              <w:t xml:space="preserve">1.71</w:t>
            </w:r>
          </w:p>
        </w:tc>
      </w:tr>
      <w:tr>
        <w:tc>
          <w:tcPr/>
          <w:p>
            <w:pPr>
              <w:pStyle w:val="Compact"/>
              <w:jc w:val="left"/>
            </w:pPr>
            <w:r>
              <w:t xml:space="preserve">Air Compressed Room - 2,3</w:t>
            </w:r>
          </w:p>
        </w:tc>
        <w:tc>
          <w:tcPr/>
          <w:p>
            <w:pPr>
              <w:pStyle w:val="Compact"/>
              <w:jc w:val="right"/>
            </w:pPr>
            <w:r>
              <w:t xml:space="preserve">14,990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14,990</w:t>
            </w:r>
          </w:p>
        </w:tc>
        <w:tc>
          <w:tcPr/>
          <w:p>
            <w:pPr>
              <w:pStyle w:val="Compact"/>
              <w:jc w:val="right"/>
            </w:pPr>
            <w:r>
              <w:t xml:space="preserve">1.63</w:t>
            </w:r>
          </w:p>
        </w:tc>
      </w:tr>
      <w:tr>
        <w:tc>
          <w:tcPr/>
          <w:p>
            <w:pPr>
              <w:pStyle w:val="Compact"/>
              <w:jc w:val="left"/>
            </w:pPr>
            <w:r>
              <w:t xml:space="preserve">Welding Inspection Shop</w:t>
            </w:r>
          </w:p>
        </w:tc>
        <w:tc>
          <w:tcPr/>
          <w:p>
            <w:pPr>
              <w:pStyle w:val="Compact"/>
              <w:jc w:val="right"/>
            </w:pPr>
            <w:r>
              <w:t xml:space="preserve">14,710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14,710</w:t>
            </w:r>
          </w:p>
        </w:tc>
        <w:tc>
          <w:tcPr/>
          <w:p>
            <w:pPr>
              <w:pStyle w:val="Compact"/>
              <w:jc w:val="right"/>
            </w:pPr>
            <w:r>
              <w:t xml:space="preserve">1.60</w:t>
            </w:r>
          </w:p>
        </w:tc>
      </w:tr>
      <w:tr>
        <w:tc>
          <w:tcPr/>
          <w:p>
            <w:pPr>
              <w:pStyle w:val="Compact"/>
              <w:jc w:val="left"/>
            </w:pPr>
            <w:r>
              <w:t xml:space="preserve">Field Office 6a</w:t>
            </w:r>
          </w:p>
        </w:tc>
        <w:tc>
          <w:tcPr/>
          <w:p>
            <w:pPr>
              <w:pStyle w:val="Compact"/>
              <w:jc w:val="right"/>
            </w:pPr>
            <w:r>
              <w:t xml:space="preserve">12,360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12,360</w:t>
            </w:r>
          </w:p>
        </w:tc>
        <w:tc>
          <w:tcPr/>
          <w:p>
            <w:pPr>
              <w:pStyle w:val="Compact"/>
              <w:jc w:val="right"/>
            </w:pPr>
            <w:r>
              <w:t xml:space="preserve">1.35</w:t>
            </w:r>
          </w:p>
        </w:tc>
      </w:tr>
      <w:tr>
        <w:tc>
          <w:tcPr/>
          <w:p>
            <w:pPr>
              <w:pStyle w:val="Compact"/>
              <w:jc w:val="left"/>
            </w:pPr>
            <w:r>
              <w:t xml:space="preserve">Field Office 3</w:t>
            </w:r>
          </w:p>
        </w:tc>
        <w:tc>
          <w:tcPr/>
          <w:p>
            <w:pPr>
              <w:pStyle w:val="Compact"/>
              <w:jc w:val="right"/>
            </w:pPr>
            <w:r>
              <w:t xml:space="preserve">10,290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10,290</w:t>
            </w:r>
          </w:p>
        </w:tc>
        <w:tc>
          <w:tcPr/>
          <w:p>
            <w:pPr>
              <w:pStyle w:val="Compact"/>
              <w:jc w:val="right"/>
            </w:pPr>
            <w:r>
              <w:t xml:space="preserve">1.12</w:t>
            </w:r>
          </w:p>
        </w:tc>
      </w:tr>
      <w:tr>
        <w:tc>
          <w:tcPr/>
          <w:p>
            <w:pPr>
              <w:pStyle w:val="Compact"/>
              <w:jc w:val="left"/>
            </w:pPr>
            <w:r>
              <w:t xml:space="preserve">Pre Treatment Shop A</w:t>
            </w:r>
          </w:p>
        </w:tc>
        <w:tc>
          <w:tcPr/>
          <w:p>
            <w:pPr>
              <w:pStyle w:val="Compact"/>
              <w:jc w:val="right"/>
            </w:pPr>
            <w:r>
              <w:t xml:space="preserve">9,150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9,150</w:t>
            </w:r>
          </w:p>
        </w:tc>
        <w:tc>
          <w:tcPr/>
          <w:p>
            <w:pPr>
              <w:pStyle w:val="Compact"/>
              <w:jc w:val="right"/>
            </w:pPr>
            <w:r>
              <w:t xml:space="preserve">1.00</w:t>
            </w:r>
          </w:p>
        </w:tc>
      </w:tr>
      <w:tr>
        <w:tc>
          <w:tcPr/>
          <w:p>
            <w:pPr>
              <w:pStyle w:val="Compact"/>
              <w:jc w:val="left"/>
            </w:pPr>
            <w:r>
              <w:t xml:space="preserve">Field Office 15</w:t>
            </w:r>
          </w:p>
        </w:tc>
        <w:tc>
          <w:tcPr/>
          <w:p>
            <w:pPr>
              <w:pStyle w:val="Compact"/>
              <w:jc w:val="right"/>
            </w:pPr>
            <w:r>
              <w:t xml:space="preserve">9,020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9,020</w:t>
            </w:r>
          </w:p>
        </w:tc>
        <w:tc>
          <w:tcPr/>
          <w:p>
            <w:pPr>
              <w:pStyle w:val="Compact"/>
              <w:jc w:val="right"/>
            </w:pPr>
            <w:r>
              <w:t xml:space="preserve">0.98</w:t>
            </w:r>
          </w:p>
        </w:tc>
      </w:tr>
      <w:tr>
        <w:tc>
          <w:tcPr/>
          <w:p>
            <w:pPr>
              <w:pStyle w:val="Compact"/>
              <w:jc w:val="left"/>
            </w:pPr>
            <w:r>
              <w:t xml:space="preserve">Sub Station #3</w:t>
            </w:r>
          </w:p>
        </w:tc>
        <w:tc>
          <w:tcPr/>
          <w:p>
            <w:pPr>
              <w:pStyle w:val="Compact"/>
              <w:jc w:val="right"/>
            </w:pPr>
            <w:r>
              <w:t xml:space="preserve">7,650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7,650</w:t>
            </w:r>
          </w:p>
        </w:tc>
        <w:tc>
          <w:tcPr/>
          <w:p>
            <w:pPr>
              <w:pStyle w:val="Compact"/>
              <w:jc w:val="right"/>
            </w:pPr>
            <w:r>
              <w:t xml:space="preserve">0.83</w:t>
            </w:r>
          </w:p>
        </w:tc>
      </w:tr>
      <w:tr>
        <w:tc>
          <w:tcPr/>
          <w:p>
            <w:pPr>
              <w:pStyle w:val="Compact"/>
              <w:jc w:val="left"/>
            </w:pPr>
            <w:r>
              <w:t xml:space="preserve">Sub Station #16</w:t>
            </w:r>
          </w:p>
        </w:tc>
        <w:tc>
          <w:tcPr/>
          <w:p>
            <w:pPr>
              <w:pStyle w:val="Compact"/>
              <w:jc w:val="right"/>
            </w:pPr>
            <w:r>
              <w:t xml:space="preserve">7,060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7,060</w:t>
            </w:r>
          </w:p>
        </w:tc>
        <w:tc>
          <w:tcPr/>
          <w:p>
            <w:pPr>
              <w:pStyle w:val="Compact"/>
              <w:jc w:val="right"/>
            </w:pPr>
            <w:r>
              <w:t xml:space="preserve">0.77</w:t>
            </w:r>
          </w:p>
        </w:tc>
      </w:tr>
      <w:tr>
        <w:tc>
          <w:tcPr/>
          <w:p>
            <w:pPr>
              <w:pStyle w:val="Compact"/>
              <w:jc w:val="left"/>
            </w:pPr>
            <w:r>
              <w:t xml:space="preserve">Pre Treatment Shop B</w:t>
            </w:r>
          </w:p>
        </w:tc>
        <w:tc>
          <w:tcPr/>
          <w:p>
            <w:pPr>
              <w:pStyle w:val="Compact"/>
              <w:jc w:val="right"/>
            </w:pPr>
            <w:r>
              <w:t xml:space="preserve">6,600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6,600</w:t>
            </w:r>
          </w:p>
        </w:tc>
        <w:tc>
          <w:tcPr/>
          <w:p>
            <w:pPr>
              <w:pStyle w:val="Compact"/>
              <w:jc w:val="right"/>
            </w:pPr>
            <w:r>
              <w:t xml:space="preserve">0.72</w:t>
            </w:r>
          </w:p>
        </w:tc>
      </w:tr>
      <w:tr>
        <w:tc>
          <w:tcPr/>
          <w:p>
            <w:pPr>
              <w:pStyle w:val="Compact"/>
              <w:jc w:val="left"/>
            </w:pPr>
            <w:r>
              <w:t xml:space="preserve">Sub Station #37</w:t>
            </w:r>
          </w:p>
        </w:tc>
        <w:tc>
          <w:tcPr/>
          <w:p>
            <w:pPr>
              <w:pStyle w:val="Compact"/>
              <w:jc w:val="right"/>
            </w:pPr>
            <w:r>
              <w:t xml:space="preserve">4,910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4,910</w:t>
            </w:r>
          </w:p>
        </w:tc>
        <w:tc>
          <w:tcPr/>
          <w:p>
            <w:pPr>
              <w:pStyle w:val="Compact"/>
              <w:jc w:val="right"/>
            </w:pPr>
            <w:r>
              <w:t xml:space="preserve">0.54</w:t>
            </w:r>
          </w:p>
        </w:tc>
      </w:tr>
      <w:tr>
        <w:tc>
          <w:tcPr/>
          <w:p>
            <w:pPr>
              <w:pStyle w:val="Compact"/>
              <w:jc w:val="left"/>
            </w:pPr>
            <w:r>
              <w:t xml:space="preserve">Spill Prevention</w:t>
            </w:r>
            <w:r>
              <w:t xml:space="preserve"> </w:t>
            </w:r>
            <w:r>
              <w:t xml:space="preserve">Kits/Secondary Containment</w:t>
            </w:r>
            <w:r>
              <w:t xml:space="preserve"> </w:t>
            </w:r>
            <w:r>
              <w:t xml:space="preserve">Austal</w:t>
            </w:r>
          </w:p>
        </w:tc>
        <w:tc>
          <w:tcPr/>
          <w:p>
            <w:pPr>
              <w:pStyle w:val="Compact"/>
              <w:jc w:val="right"/>
            </w:pPr>
            <w:r>
              <w:t xml:space="preserve">3,260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3,260</w:t>
            </w:r>
          </w:p>
        </w:tc>
        <w:tc>
          <w:tcPr/>
          <w:p>
            <w:pPr>
              <w:pStyle w:val="Compact"/>
              <w:jc w:val="right"/>
            </w:pPr>
            <w:r>
              <w:t xml:space="preserve">0.36</w:t>
            </w:r>
          </w:p>
        </w:tc>
      </w:tr>
      <w:tr>
        <w:tc>
          <w:tcPr/>
          <w:p>
            <w:pPr>
              <w:pStyle w:val="Compact"/>
              <w:jc w:val="left"/>
            </w:pPr>
            <w:r>
              <w:t xml:space="preserve">Total</w:t>
            </w:r>
          </w:p>
        </w:tc>
        <w:tc>
          <w:tcPr/>
          <w:p>
            <w:pPr>
              <w:pStyle w:val="Compact"/>
              <w:jc w:val="right"/>
            </w:pPr>
            <w:r>
              <w:t xml:space="preserve">917,680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917,680</w:t>
            </w:r>
          </w:p>
        </w:tc>
        <w:tc>
          <w:tcPr/>
          <w:p>
            <w:pPr>
              <w:pStyle w:val="Compact"/>
              <w:jc w:val="right"/>
            </w:pPr>
            <w:r>
              <w:t xml:space="preserve">100.00</w:t>
            </w:r>
          </w:p>
        </w:tc>
      </w:tr>
    </w:tbl>
    <w:bookmarkEnd w:id="72"/>
    <w:bookmarkStart w:id="74" w:name="navy-1"/>
    <w:p>
      <w:pPr>
        <w:pStyle w:val="Heading2"/>
      </w:pPr>
      <w:r>
        <w:t xml:space="preserve">Navy</w:t>
      </w:r>
    </w:p>
    <w:p>
      <w:pPr>
        <w:pStyle w:val="FirstParagraph"/>
      </w:pPr>
      <w:r>
        <w:t xml:space="preserve">The distribution of CAPEX under Navy is presented in the Table</w:t>
      </w:r>
      <w:r>
        <w:t xml:space="preserve"> </w:t>
      </w:r>
      <w:r>
        <w:t xml:space="preserve">13</w:t>
      </w:r>
      <w:r>
        <w:t xml:space="preserve">.</w:t>
      </w:r>
    </w:p>
    <w:p>
      <w:pPr>
        <w:pStyle w:val="TableCaption"/>
      </w:pPr>
      <w:r>
        <w:t xml:space="preserve">Table 13: Navy CAPEX Distribution</w:t>
      </w:r>
    </w:p>
    <w:tbl>
      <w:tblPr>
        <w:tblStyle w:val="Table"/>
        <w:tblW w:type="pct" w:w="5000"/>
        <w:tblLook w:firstRow="1" w:lastRow="0" w:firstColumn="0" w:lastColumn="0" w:noHBand="0" w:noVBand="0" w:val="0020"/>
        <w:tblCaption w:val="Table 13: Navy CAPEX Distribution"/>
      </w:tblPr>
      <w:tblGrid>
        <w:gridCol w:w="1601"/>
        <w:gridCol w:w="1067"/>
        <w:gridCol w:w="1067"/>
        <w:gridCol w:w="1156"/>
        <w:gridCol w:w="1067"/>
        <w:gridCol w:w="1156"/>
        <w:gridCol w:w="800"/>
      </w:tblGrid>
      <w:tr>
        <w:trPr>
          <w:tblHeader w:val="true"/>
        </w:trPr>
        <w:tc>
          <w:tcPr/>
          <w:p>
            <w:pPr>
              <w:pStyle w:val="Compact"/>
              <w:jc w:val="left"/>
            </w:pPr>
            <w:r>
              <w:t xml:space="preserve">Disciplines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Electrical</w:t>
            </w:r>
          </w:p>
        </w:tc>
        <w:tc>
          <w:tcPr/>
          <w:p>
            <w:pPr>
              <w:pStyle w:val="Compact"/>
              <w:jc w:val="right"/>
            </w:pPr>
            <w:r>
              <w:t xml:space="preserve">714,550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2,895,040</w:t>
            </w:r>
          </w:p>
        </w:tc>
        <w:tc>
          <w:tcPr/>
          <w:p>
            <w:pPr>
              <w:pStyle w:val="Compact"/>
              <w:jc w:val="right"/>
            </w:pPr>
            <w:r>
              <w:t xml:space="preserve">3,609,590</w:t>
            </w:r>
          </w:p>
        </w:tc>
        <w:tc>
          <w:tcPr/>
          <w:p>
            <w:pPr>
              <w:pStyle w:val="Compact"/>
              <w:jc w:val="right"/>
            </w:pPr>
            <w:r>
              <w:t xml:space="preserve">25.62</w:t>
            </w:r>
          </w:p>
        </w:tc>
      </w:tr>
      <w:tr>
        <w:tc>
          <w:tcPr/>
          <w:p>
            <w:pPr>
              <w:pStyle w:val="Compact"/>
              <w:jc w:val="left"/>
            </w:pPr>
            <w:r>
              <w:t xml:space="preserve">Mechanical</w:t>
            </w:r>
          </w:p>
        </w:tc>
        <w:tc>
          <w:tcPr/>
          <w:p>
            <w:pPr>
              <w:pStyle w:val="Compact"/>
              <w:jc w:val="right"/>
            </w:pPr>
            <w:r>
              <w:t xml:space="preserve">391,150</w:t>
            </w:r>
          </w:p>
        </w:tc>
        <w:tc>
          <w:tcPr/>
          <w:p>
            <w:pPr>
              <w:pStyle w:val="Compact"/>
              <w:jc w:val="right"/>
            </w:pPr>
            <w:r>
              <w:t xml:space="preserve">945,850</w:t>
            </w:r>
          </w:p>
        </w:tc>
        <w:tc>
          <w:tcPr/>
          <w:p>
            <w:pPr>
              <w:pStyle w:val="Compact"/>
              <w:jc w:val="right"/>
            </w:pPr>
            <w:r>
              <w:t xml:space="preserve">450,910</w:t>
            </w:r>
          </w:p>
        </w:tc>
        <w:tc>
          <w:tcPr/>
          <w:p>
            <w:pPr>
              <w:pStyle w:val="Compact"/>
              <w:jc w:val="right"/>
            </w:pPr>
            <w:r>
              <w:t xml:space="preserve">1,599,420</w:t>
            </w:r>
          </w:p>
        </w:tc>
        <w:tc>
          <w:tcPr/>
          <w:p>
            <w:pPr>
              <w:pStyle w:val="Compact"/>
              <w:jc w:val="right"/>
            </w:pPr>
            <w:r>
              <w:t xml:space="preserve">3,387,330</w:t>
            </w:r>
          </w:p>
        </w:tc>
        <w:tc>
          <w:tcPr/>
          <w:p>
            <w:pPr>
              <w:pStyle w:val="Compact"/>
              <w:jc w:val="right"/>
            </w:pPr>
            <w:r>
              <w:t xml:space="preserve">24.05</w:t>
            </w:r>
          </w:p>
        </w:tc>
      </w:tr>
      <w:tr>
        <w:tc>
          <w:tcPr/>
          <w:p>
            <w:pPr>
              <w:pStyle w:val="Compact"/>
              <w:jc w:val="left"/>
            </w:pPr>
            <w:r>
              <w:t xml:space="preserve">Architectural</w:t>
            </w:r>
          </w:p>
        </w:tc>
        <w:tc>
          <w:tcPr/>
          <w:p>
            <w:pPr>
              <w:pStyle w:val="Compact"/>
              <w:jc w:val="right"/>
            </w:pPr>
            <w:r>
              <w:t xml:space="preserve">1,058,420</w:t>
            </w:r>
          </w:p>
        </w:tc>
        <w:tc>
          <w:tcPr/>
          <w:p>
            <w:pPr>
              <w:pStyle w:val="Compact"/>
              <w:jc w:val="right"/>
            </w:pPr>
            <w:r>
              <w:t xml:space="preserve">106,950</w:t>
            </w:r>
          </w:p>
        </w:tc>
        <w:tc>
          <w:tcPr/>
          <w:p>
            <w:pPr>
              <w:pStyle w:val="Compact"/>
              <w:jc w:val="right"/>
            </w:pPr>
            <w:r>
              <w:t xml:space="preserve">188,750</w:t>
            </w:r>
          </w:p>
        </w:tc>
        <w:tc>
          <w:tcPr/>
          <w:p>
            <w:pPr>
              <w:pStyle w:val="Compact"/>
              <w:jc w:val="right"/>
            </w:pPr>
            <w:r>
              <w:t xml:space="preserve">753,160</w:t>
            </w:r>
          </w:p>
        </w:tc>
        <w:tc>
          <w:tcPr/>
          <w:p>
            <w:pPr>
              <w:pStyle w:val="Compact"/>
              <w:jc w:val="right"/>
            </w:pPr>
            <w:r>
              <w:t xml:space="preserve">2,107,280</w:t>
            </w:r>
          </w:p>
        </w:tc>
        <w:tc>
          <w:tcPr/>
          <w:p>
            <w:pPr>
              <w:pStyle w:val="Compact"/>
              <w:jc w:val="right"/>
            </w:pPr>
            <w:r>
              <w:t xml:space="preserve">14.96</w:t>
            </w:r>
          </w:p>
        </w:tc>
      </w:tr>
      <w:tr>
        <w:tc>
          <w:tcPr/>
          <w:p>
            <w:pPr>
              <w:pStyle w:val="Compact"/>
              <w:jc w:val="left"/>
            </w:pPr>
            <w:r>
              <w:t xml:space="preserve">Soft Cost</w:t>
            </w:r>
          </w:p>
        </w:tc>
        <w:tc>
          <w:tcPr/>
          <w:p>
            <w:pPr>
              <w:pStyle w:val="Compact"/>
              <w:jc w:val="right"/>
            </w:pPr>
            <w:r>
              <w:t xml:space="preserve">1,585,360</w:t>
            </w:r>
          </w:p>
        </w:tc>
        <w:tc>
          <w:tcPr/>
          <w:p>
            <w:pPr>
              <w:pStyle w:val="Compact"/>
              <w:jc w:val="right"/>
            </w:pPr>
            <w:r>
              <w:t xml:space="preserve">19,180</w:t>
            </w:r>
          </w:p>
        </w:tc>
        <w:tc>
          <w:tcPr/>
          <w:p>
            <w:pPr>
              <w:pStyle w:val="Compact"/>
              <w:jc w:val="right"/>
            </w:pPr>
            <w:r>
              <w:t xml:space="preserve">3,550</w:t>
            </w:r>
          </w:p>
        </w:tc>
        <w:tc>
          <w:tcPr/>
          <w:p>
            <w:pPr>
              <w:pStyle w:val="Compact"/>
              <w:jc w:val="right"/>
            </w:pPr>
            <w:r>
              <w:t xml:space="preserve">0</w:t>
            </w:r>
          </w:p>
        </w:tc>
        <w:tc>
          <w:tcPr/>
          <w:p>
            <w:pPr>
              <w:pStyle w:val="Compact"/>
              <w:jc w:val="right"/>
            </w:pPr>
            <w:r>
              <w:t xml:space="preserve">1,608,090</w:t>
            </w:r>
          </w:p>
        </w:tc>
        <w:tc>
          <w:tcPr/>
          <w:p>
            <w:pPr>
              <w:pStyle w:val="Compact"/>
              <w:jc w:val="right"/>
            </w:pPr>
            <w:r>
              <w:t xml:space="preserve">11.42</w:t>
            </w:r>
          </w:p>
        </w:tc>
      </w:tr>
      <w:tr>
        <w:tc>
          <w:tcPr/>
          <w:p>
            <w:pPr>
              <w:pStyle w:val="Compact"/>
              <w:jc w:val="left"/>
            </w:pPr>
            <w:r>
              <w:t xml:space="preserve">Structural</w:t>
            </w:r>
          </w:p>
        </w:tc>
        <w:tc>
          <w:tcPr/>
          <w:p>
            <w:pPr>
              <w:pStyle w:val="Compact"/>
              <w:jc w:val="right"/>
            </w:pPr>
            <w:r>
              <w:t xml:space="preserve">1,144,410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1,144,410</w:t>
            </w:r>
          </w:p>
        </w:tc>
        <w:tc>
          <w:tcPr/>
          <w:p>
            <w:pPr>
              <w:pStyle w:val="Compact"/>
              <w:jc w:val="right"/>
            </w:pPr>
            <w:r>
              <w:t xml:space="preserve">8.12</w:t>
            </w:r>
          </w:p>
        </w:tc>
      </w:tr>
      <w:tr>
        <w:tc>
          <w:tcPr/>
          <w:p>
            <w:pPr>
              <w:pStyle w:val="Compact"/>
              <w:jc w:val="left"/>
            </w:pPr>
            <w:r>
              <w:t xml:space="preserve">Roof</w:t>
            </w:r>
          </w:p>
        </w:tc>
        <w:tc>
          <w:tcPr/>
          <w:p>
            <w:pPr>
              <w:pStyle w:val="Compact"/>
              <w:jc w:val="right"/>
            </w:pPr>
            <w:r>
              <w:t xml:space="preserve">449,230</w:t>
            </w:r>
          </w:p>
        </w:tc>
        <w:tc>
          <w:tcPr/>
          <w:p>
            <w:pPr>
              <w:pStyle w:val="Compact"/>
              <w:jc w:val="right"/>
            </w:pPr>
            <w:r>
              <w:t xml:space="preserve">0</w:t>
            </w:r>
          </w:p>
        </w:tc>
        <w:tc>
          <w:tcPr/>
          <w:p>
            <w:pPr>
              <w:pStyle w:val="Compact"/>
              <w:jc w:val="right"/>
            </w:pPr>
            <w:r>
              <w:t xml:space="preserve">135,700</w:t>
            </w:r>
          </w:p>
        </w:tc>
        <w:tc>
          <w:tcPr/>
          <w:p>
            <w:pPr>
              <w:pStyle w:val="Compact"/>
              <w:jc w:val="right"/>
            </w:pPr>
            <w:r>
              <w:t xml:space="preserve">436,000</w:t>
            </w:r>
          </w:p>
        </w:tc>
        <w:tc>
          <w:tcPr/>
          <w:p>
            <w:pPr>
              <w:pStyle w:val="Compact"/>
              <w:jc w:val="right"/>
            </w:pPr>
            <w:r>
              <w:t xml:space="preserve">1,020,930</w:t>
            </w:r>
          </w:p>
        </w:tc>
        <w:tc>
          <w:tcPr/>
          <w:p>
            <w:pPr>
              <w:pStyle w:val="Compact"/>
              <w:jc w:val="right"/>
            </w:pPr>
            <w:r>
              <w:t xml:space="preserve">7.25</w:t>
            </w:r>
          </w:p>
        </w:tc>
      </w:tr>
      <w:tr>
        <w:tc>
          <w:tcPr/>
          <w:p>
            <w:pPr>
              <w:pStyle w:val="Compact"/>
              <w:jc w:val="left"/>
            </w:pPr>
            <w:r>
              <w:t xml:space="preserve">Miscellaneous</w:t>
            </w:r>
          </w:p>
        </w:tc>
        <w:tc>
          <w:tcPr/>
          <w:p>
            <w:pPr>
              <w:pStyle w:val="Compact"/>
              <w:jc w:val="right"/>
            </w:pPr>
            <w:r>
              <w:t xml:space="preserve">736,090</w:t>
            </w:r>
          </w:p>
        </w:tc>
        <w:tc>
          <w:tcPr/>
          <w:p>
            <w:pPr>
              <w:pStyle w:val="Compact"/>
              <w:jc w:val="right"/>
            </w:pPr>
            <w:r>
              <w:t xml:space="preserve">138,950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875,040</w:t>
            </w:r>
          </w:p>
        </w:tc>
        <w:tc>
          <w:tcPr/>
          <w:p>
            <w:pPr>
              <w:pStyle w:val="Compact"/>
              <w:jc w:val="right"/>
            </w:pPr>
            <w:r>
              <w:t xml:space="preserve">6.21</w:t>
            </w:r>
          </w:p>
        </w:tc>
      </w:tr>
      <w:tr>
        <w:tc>
          <w:tcPr/>
          <w:p>
            <w:pPr>
              <w:pStyle w:val="Compact"/>
              <w:jc w:val="left"/>
            </w:pPr>
            <w:r>
              <w:t xml:space="preserve">Plumbing</w:t>
            </w:r>
          </w:p>
        </w:tc>
        <w:tc>
          <w:tcPr/>
          <w:p>
            <w:pPr>
              <w:pStyle w:val="Compact"/>
              <w:jc w:val="right"/>
            </w:pPr>
            <w:r>
              <w:t xml:space="preserve">147,570</w:t>
            </w:r>
          </w:p>
        </w:tc>
        <w:tc>
          <w:tcPr/>
          <w:p>
            <w:pPr>
              <w:pStyle w:val="Compact"/>
              <w:jc w:val="right"/>
            </w:pPr>
            <w:r>
              <w:t xml:space="preserve">30,330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177,900</w:t>
            </w:r>
          </w:p>
        </w:tc>
        <w:tc>
          <w:tcPr/>
          <w:p>
            <w:pPr>
              <w:pStyle w:val="Compact"/>
              <w:jc w:val="right"/>
            </w:pPr>
            <w:r>
              <w:t xml:space="preserve">1.26</w:t>
            </w:r>
          </w:p>
        </w:tc>
      </w:tr>
      <w:tr>
        <w:tc>
          <w:tcPr/>
          <w:p>
            <w:pPr>
              <w:pStyle w:val="Compact"/>
              <w:jc w:val="left"/>
            </w:pPr>
            <w:r>
              <w:t xml:space="preserve">Building</w:t>
            </w:r>
          </w:p>
        </w:tc>
        <w:tc>
          <w:tcPr/>
          <w:p>
            <w:pPr>
              <w:pStyle w:val="Compact"/>
              <w:jc w:val="right"/>
            </w:pPr>
            <w:r>
              <w:t xml:space="preserve">0</w:t>
            </w:r>
          </w:p>
        </w:tc>
        <w:tc>
          <w:tcPr/>
          <w:p>
            <w:pPr>
              <w:pStyle w:val="Compact"/>
              <w:jc w:val="right"/>
            </w:pPr>
            <w:r>
              <w:t xml:space="preserve">0</w:t>
            </w:r>
          </w:p>
        </w:tc>
        <w:tc>
          <w:tcPr/>
          <w:p>
            <w:pPr>
              <w:pStyle w:val="Compact"/>
              <w:jc w:val="right"/>
            </w:pPr>
            <w:r>
              <w:t xml:space="preserve">89,420</w:t>
            </w:r>
          </w:p>
        </w:tc>
        <w:tc>
          <w:tcPr/>
          <w:p>
            <w:pPr>
              <w:pStyle w:val="Compact"/>
              <w:jc w:val="right"/>
            </w:pPr>
            <w:r>
              <w:t xml:space="preserve">0</w:t>
            </w:r>
          </w:p>
        </w:tc>
        <w:tc>
          <w:tcPr/>
          <w:p>
            <w:pPr>
              <w:pStyle w:val="Compact"/>
              <w:jc w:val="right"/>
            </w:pPr>
            <w:r>
              <w:t xml:space="preserve">89,420</w:t>
            </w:r>
          </w:p>
        </w:tc>
        <w:tc>
          <w:tcPr/>
          <w:p>
            <w:pPr>
              <w:pStyle w:val="Compact"/>
              <w:jc w:val="right"/>
            </w:pPr>
            <w:r>
              <w:t xml:space="preserve">0.63</w:t>
            </w:r>
          </w:p>
        </w:tc>
      </w:tr>
      <w:tr>
        <w:tc>
          <w:tcPr/>
          <w:p>
            <w:pPr>
              <w:pStyle w:val="Compact"/>
              <w:jc w:val="left"/>
            </w:pPr>
            <w:r>
              <w:t xml:space="preserve">Environmental</w:t>
            </w:r>
          </w:p>
        </w:tc>
        <w:tc>
          <w:tcPr/>
          <w:p>
            <w:pPr>
              <w:pStyle w:val="Compact"/>
              <w:jc w:val="right"/>
            </w:pPr>
            <w:r>
              <w:t xml:space="preserve">32,500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32,500</w:t>
            </w:r>
          </w:p>
        </w:tc>
        <w:tc>
          <w:tcPr/>
          <w:p>
            <w:pPr>
              <w:pStyle w:val="Compact"/>
              <w:jc w:val="right"/>
            </w:pPr>
            <w:r>
              <w:t xml:space="preserve">0.23</w:t>
            </w:r>
          </w:p>
        </w:tc>
      </w:tr>
      <w:tr>
        <w:tc>
          <w:tcPr/>
          <w:p>
            <w:pPr>
              <w:pStyle w:val="Compact"/>
              <w:jc w:val="left"/>
            </w:pPr>
            <w:r>
              <w:t xml:space="preserve">All Disciplines</w:t>
            </w:r>
          </w:p>
        </w:tc>
        <w:tc>
          <w:tcPr/>
          <w:p>
            <w:pPr>
              <w:pStyle w:val="Compact"/>
              <w:jc w:val="right"/>
            </w:pPr>
            <w:r>
              <w:t xml:space="preserve">23,190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23,190</w:t>
            </w:r>
          </w:p>
        </w:tc>
        <w:tc>
          <w:tcPr/>
          <w:p>
            <w:pPr>
              <w:pStyle w:val="Compact"/>
              <w:jc w:val="right"/>
            </w:pPr>
            <w:r>
              <w:t xml:space="preserve">0.16</w:t>
            </w:r>
          </w:p>
        </w:tc>
      </w:tr>
      <w:tr>
        <w:tc>
          <w:tcPr/>
          <w:p>
            <w:pPr>
              <w:pStyle w:val="Compact"/>
              <w:jc w:val="left"/>
            </w:pPr>
            <w:r>
              <w:t xml:space="preserve">Fire Protection</w:t>
            </w:r>
          </w:p>
        </w:tc>
        <w:tc>
          <w:tcPr/>
          <w:p>
            <w:pPr>
              <w:pStyle w:val="Compact"/>
              <w:jc w:val="right"/>
            </w:pPr>
            <w:r>
              <w:t xml:space="preserve">11,770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11,770</w:t>
            </w:r>
          </w:p>
        </w:tc>
        <w:tc>
          <w:tcPr/>
          <w:p>
            <w:pPr>
              <w:pStyle w:val="Compact"/>
              <w:jc w:val="right"/>
            </w:pPr>
            <w:r>
              <w:t xml:space="preserve">0.08</w:t>
            </w:r>
          </w:p>
        </w:tc>
      </w:tr>
      <w:tr>
        <w:tc>
          <w:tcPr/>
          <w:p>
            <w:pPr>
              <w:pStyle w:val="Compact"/>
              <w:jc w:val="left"/>
            </w:pPr>
            <w:r>
              <w:t xml:space="preserve">Total</w:t>
            </w:r>
          </w:p>
        </w:tc>
        <w:tc>
          <w:tcPr/>
          <w:p>
            <w:pPr>
              <w:pStyle w:val="Compact"/>
              <w:jc w:val="right"/>
            </w:pPr>
            <w:r>
              <w:t xml:space="preserve">6,294,240</w:t>
            </w:r>
          </w:p>
        </w:tc>
        <w:tc>
          <w:tcPr/>
          <w:p>
            <w:pPr>
              <w:pStyle w:val="Compact"/>
              <w:jc w:val="right"/>
            </w:pPr>
            <w:r>
              <w:t xml:space="preserve">1,241,260</w:t>
            </w:r>
          </w:p>
        </w:tc>
        <w:tc>
          <w:tcPr/>
          <w:p>
            <w:pPr>
              <w:pStyle w:val="Compact"/>
              <w:jc w:val="right"/>
            </w:pPr>
            <w:r>
              <w:t xml:space="preserve">868,330</w:t>
            </w:r>
          </w:p>
        </w:tc>
        <w:tc>
          <w:tcPr/>
          <w:p>
            <w:pPr>
              <w:pStyle w:val="Compact"/>
              <w:jc w:val="right"/>
            </w:pPr>
            <w:r>
              <w:t xml:space="preserve">5,683,620</w:t>
            </w:r>
          </w:p>
        </w:tc>
        <w:tc>
          <w:tcPr/>
          <w:p>
            <w:pPr>
              <w:pStyle w:val="Compact"/>
              <w:jc w:val="right"/>
            </w:pPr>
            <w:r>
              <w:t xml:space="preserve">14,087,450</w:t>
            </w:r>
          </w:p>
        </w:tc>
        <w:tc>
          <w:tcPr/>
          <w:p>
            <w:pPr>
              <w:pStyle w:val="Compact"/>
              <w:jc w:val="right"/>
            </w:pPr>
            <w:r>
              <w:t xml:space="preserve">100.00</w:t>
            </w:r>
          </w:p>
        </w:tc>
      </w:tr>
    </w:tbl>
    <w:p>
      <w:pPr>
        <w:pStyle w:val="BodyText"/>
      </w:pPr>
      <w:r>
        <w:t xml:space="preserve">As can be seen from the table, under immediate term, there are a number of significant CAPEX items distributed under each desciplines, they are Electrical, Architectural, Soft Cost, and Structural and Miscellaneous.</w:t>
      </w:r>
    </w:p>
    <w:p>
      <w:pPr>
        <w:pStyle w:val="BodyText"/>
      </w:pPr>
      <w:r>
        <w:t xml:space="preserve">Figure</w:t>
      </w:r>
      <w:r>
        <w:t xml:space="preserve"> </w:t>
      </w:r>
      <w:r>
        <w:t xml:space="preserve">16</w:t>
      </w:r>
      <w:r>
        <w:t xml:space="preserve"> </w:t>
      </w:r>
      <w:r>
        <w:t xml:space="preserve">presents the yearly CAPEX distribution for this tenant.</w:t>
      </w:r>
    </w:p>
    <w:p>
      <w:pPr>
        <w:pStyle w:val="CaptionedFigure"/>
      </w:pPr>
      <w:r>
        <w:drawing>
          <wp:inline>
            <wp:extent cx="5943600" cy="3566160"/>
            <wp:effectExtent b="0" l="0" r="0" t="0"/>
            <wp:docPr descr="Figure 16: Yearly Distribution of CAPEX - Navy" title="" id="1" name="Picture"/>
            <a:graphic>
              <a:graphicData uri="http://schemas.openxmlformats.org/drawingml/2006/picture">
                <pic:pic>
                  <pic:nvPicPr>
                    <pic:cNvPr descr="../visuals/plot012.png" id="0" name="Picture"/>
                    <pic:cNvPicPr>
                      <a:picLocks noChangeArrowheads="1" noChangeAspect="1"/>
                    </pic:cNvPicPr>
                  </pic:nvPicPr>
                  <pic:blipFill>
                    <a:blip r:embed="rId73"/>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16: Yearly Distribution of CAPEX - Navy</w:t>
      </w:r>
    </w:p>
    <w:p>
      <w:pPr>
        <w:pStyle w:val="BodyText"/>
      </w:pPr>
      <w:r>
        <w:t xml:space="preserve">Table</w:t>
      </w:r>
      <w:r>
        <w:t xml:space="preserve"> </w:t>
      </w:r>
      <w:r>
        <w:t xml:space="preserve">14</w:t>
      </w:r>
      <w:r>
        <w:t xml:space="preserve"> </w:t>
      </w:r>
      <w:r>
        <w:t xml:space="preserve">presents a summary of CAPEX items subjected to structural upgrade</w:t>
      </w:r>
    </w:p>
    <w:p>
      <w:pPr>
        <w:pStyle w:val="TableCaption"/>
      </w:pPr>
      <w:r>
        <w:t xml:space="preserve">Table 14: Navy CAPEX Distribution - Structure</w:t>
      </w:r>
    </w:p>
    <w:tbl>
      <w:tblPr>
        <w:tblStyle w:val="Table"/>
        <w:tblW w:type="pct" w:w="5000"/>
        <w:tblLook w:firstRow="1" w:lastRow="0" w:firstColumn="0" w:lastColumn="0" w:noHBand="0" w:noVBand="0" w:val="0020"/>
        <w:tblCaption w:val="Table 14: Navy CAPEX Distribution - Structure"/>
      </w:tblPr>
      <w:tblGrid>
        <w:gridCol w:w="2936"/>
        <w:gridCol w:w="2936"/>
        <w:gridCol w:w="1245"/>
        <w:gridCol w:w="800"/>
      </w:tblGrid>
      <w:tr>
        <w:trPr>
          <w:tblHeader w:val="true"/>
        </w:trPr>
        <w:tc>
          <w:tcPr/>
          <w:p>
            <w:pPr>
              <w:pStyle w:val="Compact"/>
              <w:jc w:val="left"/>
            </w:pPr>
            <w:r>
              <w:t xml:space="preserve">CAPEXassets</w:t>
            </w:r>
          </w:p>
        </w:tc>
        <w:tc>
          <w:tcPr/>
          <w:p>
            <w:pPr>
              <w:pStyle w:val="Compact"/>
              <w:jc w:val="left"/>
            </w:pPr>
            <w:r>
              <w:t xml:space="preserve">Facilities</w:t>
            </w:r>
          </w:p>
        </w:tc>
        <w:tc>
          <w:tcPr/>
          <w:p>
            <w:pPr>
              <w:pStyle w:val="Compact"/>
              <w:jc w:val="right"/>
            </w:pPr>
            <w:r>
              <w:t xml:space="preserve">NPVCapexUSD</w:t>
            </w:r>
          </w:p>
        </w:tc>
        <w:tc>
          <w:tcPr/>
          <w:p>
            <w:pPr>
              <w:pStyle w:val="Compact"/>
              <w:jc w:val="right"/>
            </w:pPr>
            <w:r>
              <w:t xml:space="preserve">freq</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Main Office</w:t>
            </w:r>
          </w:p>
        </w:tc>
        <w:tc>
          <w:tcPr/>
          <w:p>
            <w:pPr>
              <w:pStyle w:val="Compact"/>
              <w:jc w:val="right"/>
            </w:pPr>
            <w:r>
              <w:t xml:space="preserve">274,510</w:t>
            </w:r>
          </w:p>
        </w:tc>
        <w:tc>
          <w:tcPr/>
          <w:p>
            <w:pPr>
              <w:pStyle w:val="Compact"/>
              <w:jc w:val="right"/>
            </w:pPr>
            <w:r>
              <w:t xml:space="preserve">23.99</w:t>
            </w:r>
          </w:p>
        </w:tc>
      </w:tr>
      <w:tr>
        <w:tc>
          <w:tcPr/>
          <w:p>
            <w:pPr>
              <w:pStyle w:val="Compact"/>
              <w:jc w:val="left"/>
            </w:pPr>
            <w:r>
              <w:t xml:space="preserve">Overall structural</w:t>
            </w:r>
            <w:r>
              <w:t xml:space="preserve"> </w:t>
            </w:r>
            <w:r>
              <w:t xml:space="preserve">retrofitting</w:t>
            </w:r>
          </w:p>
        </w:tc>
        <w:tc>
          <w:tcPr/>
          <w:p>
            <w:pPr>
              <w:pStyle w:val="Compact"/>
              <w:jc w:val="left"/>
            </w:pPr>
            <w:r>
              <w:t xml:space="preserve">Piping Pre-treatment building</w:t>
            </w:r>
            <w:r>
              <w:t xml:space="preserve"> </w:t>
            </w:r>
            <w:r>
              <w:t xml:space="preserve">Galva</w:t>
            </w:r>
          </w:p>
        </w:tc>
        <w:tc>
          <w:tcPr/>
          <w:p>
            <w:pPr>
              <w:pStyle w:val="Compact"/>
              <w:jc w:val="right"/>
            </w:pPr>
            <w:r>
              <w:t xml:space="preserve">199,020</w:t>
            </w:r>
          </w:p>
        </w:tc>
        <w:tc>
          <w:tcPr/>
          <w:p>
            <w:pPr>
              <w:pStyle w:val="Compact"/>
              <w:jc w:val="right"/>
            </w:pPr>
            <w:r>
              <w:t xml:space="preserve">17.39</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Electric Steel Outfitting Shop</w:t>
            </w:r>
          </w:p>
        </w:tc>
        <w:tc>
          <w:tcPr/>
          <w:p>
            <w:pPr>
              <w:pStyle w:val="Compact"/>
              <w:jc w:val="right"/>
            </w:pPr>
            <w:r>
              <w:t xml:space="preserve">181,180</w:t>
            </w:r>
          </w:p>
        </w:tc>
        <w:tc>
          <w:tcPr/>
          <w:p>
            <w:pPr>
              <w:pStyle w:val="Compact"/>
              <w:jc w:val="right"/>
            </w:pPr>
            <w:r>
              <w:t xml:space="preserve">15.83</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Guest House</w:t>
            </w:r>
          </w:p>
        </w:tc>
        <w:tc>
          <w:tcPr/>
          <w:p>
            <w:pPr>
              <w:pStyle w:val="Compact"/>
              <w:jc w:val="right"/>
            </w:pPr>
            <w:r>
              <w:t xml:space="preserve">112,550</w:t>
            </w:r>
          </w:p>
        </w:tc>
        <w:tc>
          <w:tcPr/>
          <w:p>
            <w:pPr>
              <w:pStyle w:val="Compact"/>
              <w:jc w:val="right"/>
            </w:pPr>
            <w:r>
              <w:t xml:space="preserve">9.83</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Pipe Manufacture Shop A&amp;B</w:t>
            </w:r>
          </w:p>
        </w:tc>
        <w:tc>
          <w:tcPr/>
          <w:p>
            <w:pPr>
              <w:pStyle w:val="Compact"/>
              <w:jc w:val="right"/>
            </w:pPr>
            <w:r>
              <w:t xml:space="preserve">82,060</w:t>
            </w:r>
          </w:p>
        </w:tc>
        <w:tc>
          <w:tcPr/>
          <w:p>
            <w:pPr>
              <w:pStyle w:val="Compact"/>
              <w:jc w:val="right"/>
            </w:pPr>
            <w:r>
              <w:t xml:space="preserve">7.17</w:t>
            </w:r>
          </w:p>
        </w:tc>
      </w:tr>
      <w:tr>
        <w:tc>
          <w:tcPr/>
          <w:p>
            <w:pPr>
              <w:pStyle w:val="Compact"/>
              <w:jc w:val="left"/>
            </w:pPr>
            <w:r>
              <w:t xml:space="preserve">Repair of Structural Steel</w:t>
            </w:r>
            <w:r>
              <w:t xml:space="preserve"> </w:t>
            </w:r>
            <w:r>
              <w:t xml:space="preserve">frame members</w:t>
            </w:r>
          </w:p>
        </w:tc>
        <w:tc>
          <w:tcPr/>
          <w:p>
            <w:pPr>
              <w:pStyle w:val="Compact"/>
              <w:jc w:val="left"/>
            </w:pPr>
            <w:r>
              <w:t xml:space="preserve">Electric Steel Outfitting Shop</w:t>
            </w:r>
          </w:p>
        </w:tc>
        <w:tc>
          <w:tcPr/>
          <w:p>
            <w:pPr>
              <w:pStyle w:val="Compact"/>
              <w:jc w:val="right"/>
            </w:pPr>
            <w:r>
              <w:t xml:space="preserve">77,650</w:t>
            </w:r>
          </w:p>
        </w:tc>
        <w:tc>
          <w:tcPr/>
          <w:p>
            <w:pPr>
              <w:pStyle w:val="Compact"/>
              <w:jc w:val="right"/>
            </w:pPr>
            <w:r>
              <w:t xml:space="preserve">6.79</w:t>
            </w:r>
          </w:p>
        </w:tc>
      </w:tr>
      <w:tr>
        <w:tc>
          <w:tcPr/>
          <w:p>
            <w:pPr>
              <w:pStyle w:val="Compact"/>
              <w:jc w:val="left"/>
            </w:pPr>
            <w:r>
              <w:t xml:space="preserve">Repair of C-purlins for GI</w:t>
            </w:r>
            <w:r>
              <w:t xml:space="preserve"> </w:t>
            </w:r>
            <w:r>
              <w:t xml:space="preserve">Sheet Wall</w:t>
            </w:r>
          </w:p>
        </w:tc>
        <w:tc>
          <w:tcPr/>
          <w:p>
            <w:pPr>
              <w:pStyle w:val="Compact"/>
              <w:jc w:val="left"/>
            </w:pPr>
            <w:r>
              <w:t xml:space="preserve">Cable Cutting</w:t>
            </w:r>
          </w:p>
        </w:tc>
        <w:tc>
          <w:tcPr/>
          <w:p>
            <w:pPr>
              <w:pStyle w:val="Compact"/>
              <w:jc w:val="right"/>
            </w:pPr>
            <w:r>
              <w:t xml:space="preserve">53,340</w:t>
            </w:r>
          </w:p>
        </w:tc>
        <w:tc>
          <w:tcPr/>
          <w:p>
            <w:pPr>
              <w:pStyle w:val="Compact"/>
              <w:jc w:val="right"/>
            </w:pPr>
            <w:r>
              <w:t xml:space="preserve">4.66</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Assembly Shop (D)</w:t>
            </w:r>
          </w:p>
        </w:tc>
        <w:tc>
          <w:tcPr/>
          <w:p>
            <w:pPr>
              <w:pStyle w:val="Compact"/>
              <w:jc w:val="right"/>
            </w:pPr>
            <w:r>
              <w:t xml:space="preserve">46,590</w:t>
            </w:r>
          </w:p>
        </w:tc>
        <w:tc>
          <w:tcPr/>
          <w:p>
            <w:pPr>
              <w:pStyle w:val="Compact"/>
              <w:jc w:val="right"/>
            </w:pPr>
            <w:r>
              <w:t xml:space="preserve">4.07</w:t>
            </w:r>
          </w:p>
        </w:tc>
      </w:tr>
      <w:tr>
        <w:tc>
          <w:tcPr/>
          <w:p>
            <w:pPr>
              <w:pStyle w:val="Compact"/>
              <w:jc w:val="left"/>
            </w:pPr>
            <w:r>
              <w:t xml:space="preserve">Installation of missing X-</w:t>
            </w:r>
            <w:r>
              <w:t xml:space="preserve"> </w:t>
            </w:r>
            <w:r>
              <w:t xml:space="preserve">Brace</w:t>
            </w:r>
          </w:p>
        </w:tc>
        <w:tc>
          <w:tcPr/>
          <w:p>
            <w:pPr>
              <w:pStyle w:val="Compact"/>
              <w:jc w:val="left"/>
            </w:pPr>
            <w:r>
              <w:t xml:space="preserve">Pipe Manufacture Shop A&amp;B</w:t>
            </w:r>
          </w:p>
        </w:tc>
        <w:tc>
          <w:tcPr/>
          <w:p>
            <w:pPr>
              <w:pStyle w:val="Compact"/>
              <w:jc w:val="right"/>
            </w:pPr>
            <w:r>
              <w:t xml:space="preserve">36,930</w:t>
            </w:r>
          </w:p>
        </w:tc>
        <w:tc>
          <w:tcPr/>
          <w:p>
            <w:pPr>
              <w:pStyle w:val="Compact"/>
              <w:jc w:val="right"/>
            </w:pPr>
            <w:r>
              <w:t xml:space="preserve">3.23</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Main Gate</w:t>
            </w:r>
          </w:p>
        </w:tc>
        <w:tc>
          <w:tcPr/>
          <w:p>
            <w:pPr>
              <w:pStyle w:val="Compact"/>
              <w:jc w:val="right"/>
            </w:pPr>
            <w:r>
              <w:t xml:space="preserve">31,580</w:t>
            </w:r>
          </w:p>
        </w:tc>
        <w:tc>
          <w:tcPr/>
          <w:p>
            <w:pPr>
              <w:pStyle w:val="Compact"/>
              <w:jc w:val="right"/>
            </w:pPr>
            <w:r>
              <w:t xml:space="preserve">2.76</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Cable Cutting</w:t>
            </w:r>
          </w:p>
        </w:tc>
        <w:tc>
          <w:tcPr/>
          <w:p>
            <w:pPr>
              <w:pStyle w:val="Compact"/>
              <w:jc w:val="right"/>
            </w:pPr>
            <w:r>
              <w:t xml:space="preserve">24,510</w:t>
            </w:r>
          </w:p>
        </w:tc>
        <w:tc>
          <w:tcPr/>
          <w:p>
            <w:pPr>
              <w:pStyle w:val="Compact"/>
              <w:jc w:val="right"/>
            </w:pPr>
            <w:r>
              <w:t xml:space="preserve">2.14</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Shelter for Piping</w:t>
            </w:r>
          </w:p>
        </w:tc>
        <w:tc>
          <w:tcPr/>
          <w:p>
            <w:pPr>
              <w:pStyle w:val="Compact"/>
              <w:jc w:val="right"/>
            </w:pPr>
            <w:r>
              <w:t xml:space="preserve">16,400</w:t>
            </w:r>
          </w:p>
        </w:tc>
        <w:tc>
          <w:tcPr/>
          <w:p>
            <w:pPr>
              <w:pStyle w:val="Compact"/>
              <w:jc w:val="right"/>
            </w:pPr>
            <w:r>
              <w:t xml:space="preserve">1.43</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Piping Shelter</w:t>
            </w:r>
          </w:p>
        </w:tc>
        <w:tc>
          <w:tcPr/>
          <w:p>
            <w:pPr>
              <w:pStyle w:val="Compact"/>
              <w:jc w:val="right"/>
            </w:pPr>
            <w:r>
              <w:t xml:space="preserve">7,850</w:t>
            </w:r>
          </w:p>
        </w:tc>
        <w:tc>
          <w:tcPr/>
          <w:p>
            <w:pPr>
              <w:pStyle w:val="Compact"/>
              <w:jc w:val="right"/>
            </w:pPr>
            <w:r>
              <w:t xml:space="preserve">0.69</w:t>
            </w:r>
          </w:p>
        </w:tc>
      </w:tr>
      <w:tr>
        <w:tc>
          <w:tcPr/>
          <w:p>
            <w:pPr>
              <w:pStyle w:val="Compact"/>
              <w:jc w:val="left"/>
            </w:pPr>
            <w:r>
              <w:t xml:space="preserve">Repair of Missing 12mm Dia Rod</w:t>
            </w:r>
            <w:r>
              <w:t xml:space="preserve"> </w:t>
            </w:r>
            <w:r>
              <w:t xml:space="preserve">Brace including accessories</w:t>
            </w:r>
          </w:p>
        </w:tc>
        <w:tc>
          <w:tcPr/>
          <w:p>
            <w:pPr>
              <w:pStyle w:val="Compact"/>
              <w:jc w:val="left"/>
            </w:pPr>
            <w:r>
              <w:t xml:space="preserve">Painting Shop A -1</w:t>
            </w:r>
          </w:p>
        </w:tc>
        <w:tc>
          <w:tcPr/>
          <w:p>
            <w:pPr>
              <w:pStyle w:val="Compact"/>
              <w:jc w:val="right"/>
            </w:pPr>
            <w:r>
              <w:t xml:space="preserve">240</w:t>
            </w:r>
          </w:p>
        </w:tc>
        <w:tc>
          <w:tcPr/>
          <w:p>
            <w:pPr>
              <w:pStyle w:val="Compact"/>
              <w:jc w:val="right"/>
            </w:pPr>
            <w:r>
              <w:t xml:space="preserve">0.02</w:t>
            </w:r>
          </w:p>
        </w:tc>
      </w:tr>
      <w:tr>
        <w:tc>
          <w:tcPr/>
          <w:p>
            <w:pPr>
              <w:pStyle w:val="Compact"/>
              <w:jc w:val="left"/>
            </w:pPr>
            <w:r>
              <w:t xml:space="preserve">Total</w:t>
            </w:r>
          </w:p>
        </w:tc>
        <w:tc>
          <w:tcPr/>
          <w:p>
            <w:pPr>
              <w:pStyle w:val="Compact"/>
              <w:jc w:val="left"/>
            </w:pPr>
            <w:r>
              <w:t xml:space="preserve">-</w:t>
            </w:r>
          </w:p>
        </w:tc>
        <w:tc>
          <w:tcPr/>
          <w:p>
            <w:pPr>
              <w:pStyle w:val="Compact"/>
              <w:jc w:val="right"/>
            </w:pPr>
            <w:r>
              <w:t xml:space="preserve">1,144,410</w:t>
            </w:r>
          </w:p>
        </w:tc>
        <w:tc>
          <w:tcPr/>
          <w:p>
            <w:pPr>
              <w:pStyle w:val="Compact"/>
              <w:jc w:val="right"/>
            </w:pPr>
            <w:r>
              <w:t xml:space="preserve">100.00</w:t>
            </w:r>
          </w:p>
        </w:tc>
      </w:tr>
    </w:tbl>
    <w:p>
      <w:pPr>
        <w:pStyle w:val="BodyText"/>
      </w:pPr>
      <w:r>
        <w:t xml:space="preserve">Table</w:t>
      </w:r>
      <w:r>
        <w:t xml:space="preserve"> </w:t>
      </w:r>
      <w:r>
        <w:t xml:space="preserve">15</w:t>
      </w:r>
      <w:r>
        <w:t xml:space="preserve"> </w:t>
      </w:r>
      <w:r>
        <w:t xml:space="preserve">presents a summary of CAPEX items subjected to Architectural.</w:t>
      </w:r>
    </w:p>
    <w:p>
      <w:pPr>
        <w:pStyle w:val="TableCaption"/>
      </w:pPr>
      <w:r>
        <w:t xml:space="preserve">Table 15: Navy CAPEX Distribution - Architectural</w:t>
      </w:r>
    </w:p>
    <w:tbl>
      <w:tblPr>
        <w:tblStyle w:val="Table"/>
        <w:tblW w:type="pct" w:w="5000"/>
        <w:tblLook w:firstRow="1" w:lastRow="0" w:firstColumn="0" w:lastColumn="0" w:noHBand="0" w:noVBand="0" w:val="0020"/>
        <w:tblCaption w:val="Table 15: Navy CAPEX Distribution - Architectural"/>
      </w:tblPr>
      <w:tblGrid>
        <w:gridCol w:w="2509"/>
        <w:gridCol w:w="940"/>
        <w:gridCol w:w="940"/>
        <w:gridCol w:w="1019"/>
        <w:gridCol w:w="862"/>
        <w:gridCol w:w="940"/>
        <w:gridCol w:w="705"/>
      </w:tblGrid>
      <w:tr>
        <w:trPr>
          <w:tblHeader w:val="true"/>
        </w:trPr>
        <w:tc>
          <w:tcPr/>
          <w:p>
            <w:pPr>
              <w:pStyle w:val="Compact"/>
              <w:jc w:val="left"/>
            </w:pPr>
            <w:r>
              <w:t xml:space="preserve">Facilities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Main Office</w:t>
            </w:r>
          </w:p>
        </w:tc>
        <w:tc>
          <w:tcPr/>
          <w:p>
            <w:pPr>
              <w:pStyle w:val="Compact"/>
              <w:jc w:val="right"/>
            </w:pPr>
            <w:r>
              <w:t xml:space="preserve">441,200</w:t>
            </w:r>
          </w:p>
        </w:tc>
        <w:tc>
          <w:tcPr/>
          <w:p>
            <w:pPr>
              <w:pStyle w:val="Compact"/>
              <w:jc w:val="right"/>
            </w:pPr>
            <w:r>
              <w:t xml:space="preserve">0</w:t>
            </w:r>
          </w:p>
        </w:tc>
        <w:tc>
          <w:tcPr/>
          <w:p>
            <w:pPr>
              <w:pStyle w:val="Compact"/>
              <w:jc w:val="right"/>
            </w:pPr>
            <w:r>
              <w:t xml:space="preserve">44,120</w:t>
            </w:r>
          </w:p>
        </w:tc>
        <w:tc>
          <w:tcPr/>
          <w:p>
            <w:pPr>
              <w:pStyle w:val="Compact"/>
              <w:jc w:val="right"/>
            </w:pPr>
            <w:r>
              <w:t xml:space="preserve">147,070</w:t>
            </w:r>
          </w:p>
        </w:tc>
        <w:tc>
          <w:tcPr/>
          <w:p>
            <w:pPr>
              <w:pStyle w:val="Compact"/>
              <w:jc w:val="right"/>
            </w:pPr>
            <w:r>
              <w:t xml:space="preserve">632,390</w:t>
            </w:r>
          </w:p>
        </w:tc>
        <w:tc>
          <w:tcPr/>
          <w:p>
            <w:pPr>
              <w:pStyle w:val="Compact"/>
              <w:jc w:val="right"/>
            </w:pPr>
            <w:r>
              <w:t xml:space="preserve">30.01</w:t>
            </w:r>
          </w:p>
        </w:tc>
      </w:tr>
      <w:tr>
        <w:tc>
          <w:tcPr/>
          <w:p>
            <w:pPr>
              <w:pStyle w:val="Compact"/>
              <w:jc w:val="left"/>
            </w:pPr>
            <w:r>
              <w:t xml:space="preserve">Barracks - G1</w:t>
            </w:r>
          </w:p>
        </w:tc>
        <w:tc>
          <w:tcPr/>
          <w:p>
            <w:pPr>
              <w:pStyle w:val="Compact"/>
              <w:jc w:val="right"/>
            </w:pPr>
            <w:r>
              <w:t xml:space="preserve">20,400</w:t>
            </w:r>
          </w:p>
        </w:tc>
        <w:tc>
          <w:tcPr/>
          <w:p>
            <w:pPr>
              <w:pStyle w:val="Compact"/>
              <w:jc w:val="right"/>
            </w:pPr>
            <w:r>
              <w:t xml:space="preserve">0</w:t>
            </w:r>
          </w:p>
        </w:tc>
        <w:tc>
          <w:tcPr/>
          <w:p>
            <w:pPr>
              <w:pStyle w:val="Compact"/>
              <w:jc w:val="right"/>
            </w:pPr>
            <w:r>
              <w:t xml:space="preserve">17,160</w:t>
            </w:r>
          </w:p>
        </w:tc>
        <w:tc>
          <w:tcPr/>
          <w:p>
            <w:pPr>
              <w:pStyle w:val="Compact"/>
              <w:jc w:val="right"/>
            </w:pPr>
            <w:r>
              <w:t xml:space="preserve">276,530</w:t>
            </w:r>
          </w:p>
        </w:tc>
        <w:tc>
          <w:tcPr/>
          <w:p>
            <w:pPr>
              <w:pStyle w:val="Compact"/>
              <w:jc w:val="right"/>
            </w:pPr>
            <w:r>
              <w:t xml:space="preserve">314,090</w:t>
            </w:r>
          </w:p>
        </w:tc>
        <w:tc>
          <w:tcPr/>
          <w:p>
            <w:pPr>
              <w:pStyle w:val="Compact"/>
              <w:jc w:val="right"/>
            </w:pPr>
            <w:r>
              <w:t xml:space="preserve">14.90</w:t>
            </w:r>
          </w:p>
        </w:tc>
      </w:tr>
      <w:tr>
        <w:tc>
          <w:tcPr/>
          <w:p>
            <w:pPr>
              <w:pStyle w:val="Compact"/>
              <w:jc w:val="left"/>
            </w:pPr>
            <w:r>
              <w:t xml:space="preserve">Catering Center</w:t>
            </w:r>
          </w:p>
        </w:tc>
        <w:tc>
          <w:tcPr/>
          <w:p>
            <w:pPr>
              <w:pStyle w:val="Compact"/>
              <w:jc w:val="right"/>
            </w:pPr>
            <w:r>
              <w:t xml:space="preserve">80,650</w:t>
            </w:r>
          </w:p>
        </w:tc>
        <w:tc>
          <w:tcPr/>
          <w:p>
            <w:pPr>
              <w:pStyle w:val="Compact"/>
              <w:jc w:val="right"/>
            </w:pPr>
            <w:r>
              <w:t xml:space="preserve">89,500</w:t>
            </w:r>
          </w:p>
        </w:tc>
        <w:tc>
          <w:tcPr/>
          <w:p>
            <w:pPr>
              <w:pStyle w:val="Compact"/>
              <w:jc w:val="right"/>
            </w:pPr>
            <w:r>
              <w:t xml:space="preserve">0</w:t>
            </w:r>
          </w:p>
        </w:tc>
        <w:tc>
          <w:tcPr/>
          <w:p>
            <w:pPr>
              <w:pStyle w:val="Compact"/>
              <w:jc w:val="right"/>
            </w:pPr>
            <w:r>
              <w:t xml:space="preserve">106,220</w:t>
            </w:r>
          </w:p>
        </w:tc>
        <w:tc>
          <w:tcPr/>
          <w:p>
            <w:pPr>
              <w:pStyle w:val="Compact"/>
              <w:jc w:val="right"/>
            </w:pPr>
            <w:r>
              <w:t xml:space="preserve">276,370</w:t>
            </w:r>
          </w:p>
        </w:tc>
        <w:tc>
          <w:tcPr/>
          <w:p>
            <w:pPr>
              <w:pStyle w:val="Compact"/>
              <w:jc w:val="right"/>
            </w:pPr>
            <w:r>
              <w:t xml:space="preserve">13.12</w:t>
            </w:r>
          </w:p>
        </w:tc>
      </w:tr>
      <w:tr>
        <w:tc>
          <w:tcPr/>
          <w:p>
            <w:pPr>
              <w:pStyle w:val="Compact"/>
              <w:jc w:val="left"/>
            </w:pPr>
            <w:r>
              <w:t xml:space="preserve">Guest House</w:t>
            </w:r>
          </w:p>
        </w:tc>
        <w:tc>
          <w:tcPr/>
          <w:p>
            <w:pPr>
              <w:pStyle w:val="Compact"/>
              <w:jc w:val="right"/>
            </w:pPr>
            <w:r>
              <w:t xml:space="preserve">147,000</w:t>
            </w:r>
          </w:p>
        </w:tc>
        <w:tc>
          <w:tcPr/>
          <w:p>
            <w:pPr>
              <w:pStyle w:val="Compact"/>
              <w:jc w:val="right"/>
            </w:pPr>
            <w:r>
              <w:t xml:space="preserve">0</w:t>
            </w:r>
          </w:p>
        </w:tc>
        <w:tc>
          <w:tcPr/>
          <w:p>
            <w:pPr>
              <w:pStyle w:val="Compact"/>
              <w:jc w:val="right"/>
            </w:pPr>
            <w:r>
              <w:t xml:space="preserve">6,180</w:t>
            </w:r>
          </w:p>
        </w:tc>
        <w:tc>
          <w:tcPr/>
          <w:p>
            <w:pPr>
              <w:pStyle w:val="Compact"/>
              <w:jc w:val="right"/>
            </w:pPr>
            <w:r>
              <w:t xml:space="preserve">46,700</w:t>
            </w:r>
          </w:p>
        </w:tc>
        <w:tc>
          <w:tcPr/>
          <w:p>
            <w:pPr>
              <w:pStyle w:val="Compact"/>
              <w:jc w:val="right"/>
            </w:pPr>
            <w:r>
              <w:t xml:space="preserve">199,880</w:t>
            </w:r>
          </w:p>
        </w:tc>
        <w:tc>
          <w:tcPr/>
          <w:p>
            <w:pPr>
              <w:pStyle w:val="Compact"/>
              <w:jc w:val="right"/>
            </w:pPr>
            <w:r>
              <w:t xml:space="preserve">9.49</w:t>
            </w:r>
          </w:p>
        </w:tc>
      </w:tr>
      <w:tr>
        <w:tc>
          <w:tcPr/>
          <w:p>
            <w:pPr>
              <w:pStyle w:val="Compact"/>
              <w:jc w:val="left"/>
            </w:pPr>
            <w:r>
              <w:t xml:space="preserve">Piping Pre-treatment building</w:t>
            </w:r>
            <w:r>
              <w:t xml:space="preserve"> </w:t>
            </w:r>
            <w:r>
              <w:t xml:space="preserve">Galva</w:t>
            </w:r>
          </w:p>
        </w:tc>
        <w:tc>
          <w:tcPr/>
          <w:p>
            <w:pPr>
              <w:pStyle w:val="Compact"/>
              <w:jc w:val="right"/>
            </w:pPr>
            <w:r>
              <w:t xml:space="preserve">198,850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198,850</w:t>
            </w:r>
          </w:p>
        </w:tc>
        <w:tc>
          <w:tcPr/>
          <w:p>
            <w:pPr>
              <w:pStyle w:val="Compact"/>
              <w:jc w:val="right"/>
            </w:pPr>
            <w:r>
              <w:t xml:space="preserve">9.44</w:t>
            </w:r>
          </w:p>
        </w:tc>
      </w:tr>
      <w:tr>
        <w:tc>
          <w:tcPr/>
          <w:p>
            <w:pPr>
              <w:pStyle w:val="Compact"/>
              <w:jc w:val="left"/>
            </w:pPr>
            <w:r>
              <w:t xml:space="preserve">Barracks - C</w:t>
            </w:r>
          </w:p>
        </w:tc>
        <w:tc>
          <w:tcPr/>
          <w:p>
            <w:pPr>
              <w:pStyle w:val="Compact"/>
              <w:jc w:val="right"/>
            </w:pPr>
            <w:r>
              <w:t xml:space="preserve">31,540</w:t>
            </w:r>
          </w:p>
        </w:tc>
        <w:tc>
          <w:tcPr/>
          <w:p>
            <w:pPr>
              <w:pStyle w:val="Compact"/>
              <w:jc w:val="right"/>
            </w:pPr>
            <w:r>
              <w:t xml:space="preserve">0</w:t>
            </w:r>
          </w:p>
        </w:tc>
        <w:tc>
          <w:tcPr/>
          <w:p>
            <w:pPr>
              <w:pStyle w:val="Compact"/>
              <w:jc w:val="right"/>
            </w:pPr>
            <w:r>
              <w:t xml:space="preserve">19,860</w:t>
            </w:r>
          </w:p>
        </w:tc>
        <w:tc>
          <w:tcPr/>
          <w:p>
            <w:pPr>
              <w:pStyle w:val="Compact"/>
              <w:jc w:val="right"/>
            </w:pPr>
            <w:r>
              <w:t xml:space="preserve">23,690</w:t>
            </w:r>
          </w:p>
        </w:tc>
        <w:tc>
          <w:tcPr/>
          <w:p>
            <w:pPr>
              <w:pStyle w:val="Compact"/>
              <w:jc w:val="right"/>
            </w:pPr>
            <w:r>
              <w:t xml:space="preserve">75,090</w:t>
            </w:r>
          </w:p>
        </w:tc>
        <w:tc>
          <w:tcPr/>
          <w:p>
            <w:pPr>
              <w:pStyle w:val="Compact"/>
              <w:jc w:val="right"/>
            </w:pPr>
            <w:r>
              <w:t xml:space="preserve">3.56</w:t>
            </w:r>
          </w:p>
        </w:tc>
      </w:tr>
      <w:tr>
        <w:tc>
          <w:tcPr/>
          <w:p>
            <w:pPr>
              <w:pStyle w:val="Compact"/>
              <w:jc w:val="left"/>
            </w:pPr>
            <w:r>
              <w:t xml:space="preserve">Barracks - E</w:t>
            </w:r>
          </w:p>
        </w:tc>
        <w:tc>
          <w:tcPr/>
          <w:p>
            <w:pPr>
              <w:pStyle w:val="Compact"/>
              <w:jc w:val="right"/>
            </w:pPr>
            <w:r>
              <w:t xml:space="preserve">31,540</w:t>
            </w:r>
          </w:p>
        </w:tc>
        <w:tc>
          <w:tcPr/>
          <w:p>
            <w:pPr>
              <w:pStyle w:val="Compact"/>
              <w:jc w:val="right"/>
            </w:pPr>
            <w:r>
              <w:t xml:space="preserve">0</w:t>
            </w:r>
          </w:p>
        </w:tc>
        <w:tc>
          <w:tcPr/>
          <w:p>
            <w:pPr>
              <w:pStyle w:val="Compact"/>
              <w:jc w:val="right"/>
            </w:pPr>
            <w:r>
              <w:t xml:space="preserve">19,860</w:t>
            </w:r>
          </w:p>
        </w:tc>
        <w:tc>
          <w:tcPr/>
          <w:p>
            <w:pPr>
              <w:pStyle w:val="Compact"/>
              <w:jc w:val="right"/>
            </w:pPr>
            <w:r>
              <w:t xml:space="preserve">23,690</w:t>
            </w:r>
          </w:p>
        </w:tc>
        <w:tc>
          <w:tcPr/>
          <w:p>
            <w:pPr>
              <w:pStyle w:val="Compact"/>
              <w:jc w:val="right"/>
            </w:pPr>
            <w:r>
              <w:t xml:space="preserve">75,090</w:t>
            </w:r>
          </w:p>
        </w:tc>
        <w:tc>
          <w:tcPr/>
          <w:p>
            <w:pPr>
              <w:pStyle w:val="Compact"/>
              <w:jc w:val="right"/>
            </w:pPr>
            <w:r>
              <w:t xml:space="preserve">3.56</w:t>
            </w:r>
          </w:p>
        </w:tc>
      </w:tr>
      <w:tr>
        <w:tc>
          <w:tcPr/>
          <w:p>
            <w:pPr>
              <w:pStyle w:val="Compact"/>
              <w:jc w:val="left"/>
            </w:pPr>
            <w:r>
              <w:t xml:space="preserve">Field Office 13</w:t>
            </w:r>
          </w:p>
        </w:tc>
        <w:tc>
          <w:tcPr/>
          <w:p>
            <w:pPr>
              <w:pStyle w:val="Compact"/>
              <w:jc w:val="right"/>
            </w:pPr>
            <w:r>
              <w:t xml:space="preserve">7,720</w:t>
            </w:r>
          </w:p>
        </w:tc>
        <w:tc>
          <w:tcPr/>
          <w:p>
            <w:pPr>
              <w:pStyle w:val="Compact"/>
              <w:jc w:val="right"/>
            </w:pPr>
            <w:r>
              <w:t xml:space="preserve">12,360</w:t>
            </w:r>
          </w:p>
        </w:tc>
        <w:tc>
          <w:tcPr/>
          <w:p>
            <w:pPr>
              <w:pStyle w:val="Compact"/>
              <w:jc w:val="right"/>
            </w:pPr>
            <w:r>
              <w:t xml:space="preserve">10,890</w:t>
            </w:r>
          </w:p>
        </w:tc>
        <w:tc>
          <w:tcPr/>
          <w:p>
            <w:pPr>
              <w:pStyle w:val="Compact"/>
              <w:jc w:val="right"/>
            </w:pPr>
            <w:r>
              <w:t xml:space="preserve">35,610</w:t>
            </w:r>
          </w:p>
        </w:tc>
        <w:tc>
          <w:tcPr/>
          <w:p>
            <w:pPr>
              <w:pStyle w:val="Compact"/>
              <w:jc w:val="right"/>
            </w:pPr>
            <w:r>
              <w:t xml:space="preserve">66,580</w:t>
            </w:r>
          </w:p>
        </w:tc>
        <w:tc>
          <w:tcPr/>
          <w:p>
            <w:pPr>
              <w:pStyle w:val="Compact"/>
              <w:jc w:val="right"/>
            </w:pPr>
            <w:r>
              <w:t xml:space="preserve">3.16</w:t>
            </w:r>
          </w:p>
        </w:tc>
      </w:tr>
      <w:tr>
        <w:tc>
          <w:tcPr/>
          <w:p>
            <w:pPr>
              <w:pStyle w:val="Compact"/>
              <w:jc w:val="left"/>
            </w:pPr>
            <w:r>
              <w:t xml:space="preserve">Barracks - Admin</w:t>
            </w:r>
          </w:p>
        </w:tc>
        <w:tc>
          <w:tcPr/>
          <w:p>
            <w:pPr>
              <w:pStyle w:val="Compact"/>
              <w:jc w:val="right"/>
            </w:pPr>
            <w:r>
              <w:t xml:space="preserve">27,470</w:t>
            </w:r>
          </w:p>
        </w:tc>
        <w:tc>
          <w:tcPr/>
          <w:p>
            <w:pPr>
              <w:pStyle w:val="Compact"/>
              <w:jc w:val="right"/>
            </w:pPr>
            <w:r>
              <w:t xml:space="preserve">0</w:t>
            </w:r>
          </w:p>
        </w:tc>
        <w:tc>
          <w:tcPr/>
          <w:p>
            <w:pPr>
              <w:pStyle w:val="Compact"/>
              <w:jc w:val="right"/>
            </w:pPr>
            <w:r>
              <w:t xml:space="preserve">17,160</w:t>
            </w:r>
          </w:p>
        </w:tc>
        <w:tc>
          <w:tcPr/>
          <w:p>
            <w:pPr>
              <w:pStyle w:val="Compact"/>
              <w:jc w:val="right"/>
            </w:pPr>
            <w:r>
              <w:t xml:space="preserve">21,580</w:t>
            </w:r>
          </w:p>
        </w:tc>
        <w:tc>
          <w:tcPr/>
          <w:p>
            <w:pPr>
              <w:pStyle w:val="Compact"/>
              <w:jc w:val="right"/>
            </w:pPr>
            <w:r>
              <w:t xml:space="preserve">66,210</w:t>
            </w:r>
          </w:p>
        </w:tc>
        <w:tc>
          <w:tcPr/>
          <w:p>
            <w:pPr>
              <w:pStyle w:val="Compact"/>
              <w:jc w:val="right"/>
            </w:pPr>
            <w:r>
              <w:t xml:space="preserve">3.14</w:t>
            </w:r>
          </w:p>
        </w:tc>
      </w:tr>
      <w:tr>
        <w:tc>
          <w:tcPr/>
          <w:p>
            <w:pPr>
              <w:pStyle w:val="Compact"/>
              <w:jc w:val="left"/>
            </w:pPr>
            <w:r>
              <w:t xml:space="preserve">Barracks - G2</w:t>
            </w:r>
          </w:p>
        </w:tc>
        <w:tc>
          <w:tcPr/>
          <w:p>
            <w:pPr>
              <w:pStyle w:val="Compact"/>
              <w:jc w:val="right"/>
            </w:pPr>
            <w:r>
              <w:t xml:space="preserve">21,580</w:t>
            </w:r>
          </w:p>
        </w:tc>
        <w:tc>
          <w:tcPr/>
          <w:p>
            <w:pPr>
              <w:pStyle w:val="Compact"/>
              <w:jc w:val="right"/>
            </w:pPr>
            <w:r>
              <w:t xml:space="preserve">0</w:t>
            </w:r>
          </w:p>
        </w:tc>
        <w:tc>
          <w:tcPr/>
          <w:p>
            <w:pPr>
              <w:pStyle w:val="Compact"/>
              <w:jc w:val="right"/>
            </w:pPr>
            <w:r>
              <w:t xml:space="preserve">17,160</w:t>
            </w:r>
          </w:p>
        </w:tc>
        <w:tc>
          <w:tcPr/>
          <w:p>
            <w:pPr>
              <w:pStyle w:val="Compact"/>
              <w:jc w:val="right"/>
            </w:pPr>
            <w:r>
              <w:t xml:space="preserve">21,580</w:t>
            </w:r>
          </w:p>
        </w:tc>
        <w:tc>
          <w:tcPr/>
          <w:p>
            <w:pPr>
              <w:pStyle w:val="Compact"/>
              <w:jc w:val="right"/>
            </w:pPr>
            <w:r>
              <w:t xml:space="preserve">60,320</w:t>
            </w:r>
          </w:p>
        </w:tc>
        <w:tc>
          <w:tcPr/>
          <w:p>
            <w:pPr>
              <w:pStyle w:val="Compact"/>
              <w:jc w:val="right"/>
            </w:pPr>
            <w:r>
              <w:t xml:space="preserve">2.86</w:t>
            </w:r>
          </w:p>
        </w:tc>
      </w:tr>
      <w:tr>
        <w:tc>
          <w:tcPr/>
          <w:p>
            <w:pPr>
              <w:pStyle w:val="Compact"/>
              <w:jc w:val="left"/>
            </w:pPr>
            <w:r>
              <w:t xml:space="preserve">Barracks - D</w:t>
            </w:r>
          </w:p>
        </w:tc>
        <w:tc>
          <w:tcPr/>
          <w:p>
            <w:pPr>
              <w:pStyle w:val="Compact"/>
              <w:jc w:val="right"/>
            </w:pPr>
            <w:r>
              <w:t xml:space="preserve">19,270</w:t>
            </w:r>
          </w:p>
        </w:tc>
        <w:tc>
          <w:tcPr/>
          <w:p>
            <w:pPr>
              <w:pStyle w:val="Compact"/>
              <w:jc w:val="right"/>
            </w:pPr>
            <w:r>
              <w:t xml:space="preserve">0</w:t>
            </w:r>
          </w:p>
        </w:tc>
        <w:tc>
          <w:tcPr/>
          <w:p>
            <w:pPr>
              <w:pStyle w:val="Compact"/>
              <w:jc w:val="right"/>
            </w:pPr>
            <w:r>
              <w:t xml:space="preserve">16,180</w:t>
            </w:r>
          </w:p>
        </w:tc>
        <w:tc>
          <w:tcPr/>
          <w:p>
            <w:pPr>
              <w:pStyle w:val="Compact"/>
              <w:jc w:val="right"/>
            </w:pPr>
            <w:r>
              <w:t xml:space="preserve">19,270</w:t>
            </w:r>
          </w:p>
        </w:tc>
        <w:tc>
          <w:tcPr/>
          <w:p>
            <w:pPr>
              <w:pStyle w:val="Compact"/>
              <w:jc w:val="right"/>
            </w:pPr>
            <w:r>
              <w:t xml:space="preserve">54,720</w:t>
            </w:r>
          </w:p>
        </w:tc>
        <w:tc>
          <w:tcPr/>
          <w:p>
            <w:pPr>
              <w:pStyle w:val="Compact"/>
              <w:jc w:val="right"/>
            </w:pPr>
            <w:r>
              <w:t xml:space="preserve">2.60</w:t>
            </w:r>
          </w:p>
        </w:tc>
      </w:tr>
      <w:tr>
        <w:tc>
          <w:tcPr/>
          <w:p>
            <w:pPr>
              <w:pStyle w:val="Compact"/>
              <w:jc w:val="left"/>
            </w:pPr>
            <w:r>
              <w:t xml:space="preserve">Barracks - B</w:t>
            </w:r>
          </w:p>
        </w:tc>
        <w:tc>
          <w:tcPr/>
          <w:p>
            <w:pPr>
              <w:pStyle w:val="Compact"/>
              <w:jc w:val="right"/>
            </w:pPr>
            <w:r>
              <w:t xml:space="preserve">19,610</w:t>
            </w:r>
          </w:p>
        </w:tc>
        <w:tc>
          <w:tcPr/>
          <w:p>
            <w:pPr>
              <w:pStyle w:val="Compact"/>
              <w:jc w:val="right"/>
            </w:pPr>
            <w:r>
              <w:t xml:space="preserve">0</w:t>
            </w:r>
          </w:p>
        </w:tc>
        <w:tc>
          <w:tcPr/>
          <w:p>
            <w:pPr>
              <w:pStyle w:val="Compact"/>
              <w:jc w:val="right"/>
            </w:pPr>
            <w:r>
              <w:t xml:space="preserve">12,210</w:t>
            </w:r>
          </w:p>
        </w:tc>
        <w:tc>
          <w:tcPr/>
          <w:p>
            <w:pPr>
              <w:pStyle w:val="Compact"/>
              <w:jc w:val="right"/>
            </w:pPr>
            <w:r>
              <w:t xml:space="preserve">14,510</w:t>
            </w:r>
          </w:p>
        </w:tc>
        <w:tc>
          <w:tcPr/>
          <w:p>
            <w:pPr>
              <w:pStyle w:val="Compact"/>
              <w:jc w:val="right"/>
            </w:pPr>
            <w:r>
              <w:t xml:space="preserve">46,330</w:t>
            </w:r>
          </w:p>
        </w:tc>
        <w:tc>
          <w:tcPr/>
          <w:p>
            <w:pPr>
              <w:pStyle w:val="Compact"/>
              <w:jc w:val="right"/>
            </w:pPr>
            <w:r>
              <w:t xml:space="preserve">2.20</w:t>
            </w:r>
          </w:p>
        </w:tc>
      </w:tr>
      <w:tr>
        <w:tc>
          <w:tcPr/>
          <w:p>
            <w:pPr>
              <w:pStyle w:val="Compact"/>
              <w:jc w:val="left"/>
            </w:pPr>
            <w:r>
              <w:t xml:space="preserve">Field Office 5</w:t>
            </w:r>
          </w:p>
        </w:tc>
        <w:tc>
          <w:tcPr/>
          <w:p>
            <w:pPr>
              <w:pStyle w:val="Compact"/>
              <w:jc w:val="right"/>
            </w:pPr>
            <w:r>
              <w:t xml:space="preserve">8,940</w:t>
            </w:r>
          </w:p>
        </w:tc>
        <w:tc>
          <w:tcPr/>
          <w:p>
            <w:pPr>
              <w:pStyle w:val="Compact"/>
              <w:jc w:val="right"/>
            </w:pPr>
            <w:r>
              <w:t xml:space="preserve">5,090</w:t>
            </w:r>
          </w:p>
        </w:tc>
        <w:tc>
          <w:tcPr/>
          <w:p>
            <w:pPr>
              <w:pStyle w:val="Compact"/>
              <w:jc w:val="right"/>
            </w:pPr>
            <w:r>
              <w:t xml:space="preserve">3,840</w:t>
            </w:r>
          </w:p>
        </w:tc>
        <w:tc>
          <w:tcPr/>
          <w:p>
            <w:pPr>
              <w:pStyle w:val="Compact"/>
              <w:jc w:val="right"/>
            </w:pPr>
            <w:r>
              <w:t xml:space="preserve">8,930</w:t>
            </w:r>
          </w:p>
        </w:tc>
        <w:tc>
          <w:tcPr/>
          <w:p>
            <w:pPr>
              <w:pStyle w:val="Compact"/>
              <w:jc w:val="right"/>
            </w:pPr>
            <w:r>
              <w:t xml:space="preserve">26,800</w:t>
            </w:r>
          </w:p>
        </w:tc>
        <w:tc>
          <w:tcPr/>
          <w:p>
            <w:pPr>
              <w:pStyle w:val="Compact"/>
              <w:jc w:val="right"/>
            </w:pPr>
            <w:r>
              <w:t xml:space="preserve">1.27</w:t>
            </w:r>
          </w:p>
        </w:tc>
      </w:tr>
      <w:tr>
        <w:tc>
          <w:tcPr/>
          <w:p>
            <w:pPr>
              <w:pStyle w:val="Compact"/>
              <w:jc w:val="left"/>
            </w:pPr>
            <w:r>
              <w:t xml:space="preserve">Field Office 14</w:t>
            </w:r>
          </w:p>
        </w:tc>
        <w:tc>
          <w:tcPr/>
          <w:p>
            <w:pPr>
              <w:pStyle w:val="Compact"/>
              <w:jc w:val="right"/>
            </w:pPr>
            <w:r>
              <w:t xml:space="preserve">1,830</w:t>
            </w:r>
          </w:p>
        </w:tc>
        <w:tc>
          <w:tcPr/>
          <w:p>
            <w:pPr>
              <w:pStyle w:val="Compact"/>
              <w:jc w:val="right"/>
            </w:pPr>
            <w:r>
              <w:t xml:space="preserve">0</w:t>
            </w:r>
          </w:p>
        </w:tc>
        <w:tc>
          <w:tcPr/>
          <w:p>
            <w:pPr>
              <w:pStyle w:val="Compact"/>
              <w:jc w:val="right"/>
            </w:pPr>
            <w:r>
              <w:t xml:space="preserve">3,310</w:t>
            </w:r>
          </w:p>
        </w:tc>
        <w:tc>
          <w:tcPr/>
          <w:p>
            <w:pPr>
              <w:pStyle w:val="Compact"/>
              <w:jc w:val="right"/>
            </w:pPr>
            <w:r>
              <w:t xml:space="preserve">6,960</w:t>
            </w:r>
          </w:p>
        </w:tc>
        <w:tc>
          <w:tcPr/>
          <w:p>
            <w:pPr>
              <w:pStyle w:val="Compact"/>
              <w:jc w:val="right"/>
            </w:pPr>
            <w:r>
              <w:t xml:space="preserve">12,100</w:t>
            </w:r>
          </w:p>
        </w:tc>
        <w:tc>
          <w:tcPr/>
          <w:p>
            <w:pPr>
              <w:pStyle w:val="Compact"/>
              <w:jc w:val="right"/>
            </w:pPr>
            <w:r>
              <w:t xml:space="preserve">0.57</w:t>
            </w:r>
          </w:p>
        </w:tc>
      </w:tr>
      <w:tr>
        <w:tc>
          <w:tcPr/>
          <w:p>
            <w:pPr>
              <w:pStyle w:val="Compact"/>
              <w:jc w:val="left"/>
            </w:pPr>
            <w:r>
              <w:t xml:space="preserve">Barracks - Accommodation</w:t>
            </w:r>
          </w:p>
        </w:tc>
        <w:tc>
          <w:tcPr/>
          <w:p>
            <w:pPr>
              <w:pStyle w:val="Compact"/>
              <w:jc w:val="right"/>
            </w:pPr>
            <w:r>
              <w:t xml:space="preserve">820</w:t>
            </w:r>
          </w:p>
        </w:tc>
        <w:tc>
          <w:tcPr/>
          <w:p>
            <w:pPr>
              <w:pStyle w:val="Compact"/>
              <w:jc w:val="right"/>
            </w:pPr>
            <w:r>
              <w:t xml:space="preserve">0</w:t>
            </w:r>
          </w:p>
        </w:tc>
        <w:tc>
          <w:tcPr/>
          <w:p>
            <w:pPr>
              <w:pStyle w:val="Compact"/>
              <w:jc w:val="right"/>
            </w:pPr>
            <w:r>
              <w:t xml:space="preserve">820</w:t>
            </w:r>
          </w:p>
        </w:tc>
        <w:tc>
          <w:tcPr/>
          <w:p>
            <w:pPr>
              <w:pStyle w:val="Compact"/>
              <w:jc w:val="right"/>
            </w:pPr>
            <w:r>
              <w:t xml:space="preserve">820</w:t>
            </w:r>
          </w:p>
        </w:tc>
        <w:tc>
          <w:tcPr/>
          <w:p>
            <w:pPr>
              <w:pStyle w:val="Compact"/>
              <w:jc w:val="right"/>
            </w:pPr>
            <w:r>
              <w:t xml:space="preserve">2,460</w:t>
            </w:r>
          </w:p>
        </w:tc>
        <w:tc>
          <w:tcPr/>
          <w:p>
            <w:pPr>
              <w:pStyle w:val="Compact"/>
              <w:jc w:val="right"/>
            </w:pPr>
            <w:r>
              <w:t xml:space="preserve">0.12</w:t>
            </w:r>
          </w:p>
        </w:tc>
      </w:tr>
      <w:tr>
        <w:tc>
          <w:tcPr/>
          <w:p>
            <w:pPr>
              <w:pStyle w:val="Compact"/>
              <w:jc w:val="left"/>
            </w:pPr>
            <w:r>
              <w:t xml:space="preserve">Total</w:t>
            </w:r>
          </w:p>
        </w:tc>
        <w:tc>
          <w:tcPr/>
          <w:p>
            <w:pPr>
              <w:pStyle w:val="Compact"/>
              <w:jc w:val="right"/>
            </w:pPr>
            <w:r>
              <w:t xml:space="preserve">1,058,420</w:t>
            </w:r>
          </w:p>
        </w:tc>
        <w:tc>
          <w:tcPr/>
          <w:p>
            <w:pPr>
              <w:pStyle w:val="Compact"/>
              <w:jc w:val="right"/>
            </w:pPr>
            <w:r>
              <w:t xml:space="preserve">106,950</w:t>
            </w:r>
          </w:p>
        </w:tc>
        <w:tc>
          <w:tcPr/>
          <w:p>
            <w:pPr>
              <w:pStyle w:val="Compact"/>
              <w:jc w:val="right"/>
            </w:pPr>
            <w:r>
              <w:t xml:space="preserve">188,750</w:t>
            </w:r>
          </w:p>
        </w:tc>
        <w:tc>
          <w:tcPr/>
          <w:p>
            <w:pPr>
              <w:pStyle w:val="Compact"/>
              <w:jc w:val="right"/>
            </w:pPr>
            <w:r>
              <w:t xml:space="preserve">753,160</w:t>
            </w:r>
          </w:p>
        </w:tc>
        <w:tc>
          <w:tcPr/>
          <w:p>
            <w:pPr>
              <w:pStyle w:val="Compact"/>
              <w:jc w:val="right"/>
            </w:pPr>
            <w:r>
              <w:t xml:space="preserve">2,107,280</w:t>
            </w:r>
          </w:p>
        </w:tc>
        <w:tc>
          <w:tcPr/>
          <w:p>
            <w:pPr>
              <w:pStyle w:val="Compact"/>
              <w:jc w:val="right"/>
            </w:pPr>
            <w:r>
              <w:t xml:space="preserve">100.00</w:t>
            </w:r>
          </w:p>
        </w:tc>
      </w:tr>
    </w:tbl>
    <w:p>
      <w:pPr>
        <w:pStyle w:val="BodyText"/>
      </w:pPr>
      <w:r>
        <w:t xml:space="preserve">Table</w:t>
      </w:r>
      <w:r>
        <w:t xml:space="preserve"> </w:t>
      </w:r>
      <w:r>
        <w:t xml:space="preserve">16</w:t>
      </w:r>
      <w:r>
        <w:t xml:space="preserve"> </w:t>
      </w:r>
      <w:r>
        <w:t xml:space="preserve">presents a summary of CAPEX items subjected to Electrical</w:t>
      </w:r>
    </w:p>
    <w:p>
      <w:pPr>
        <w:pStyle w:val="TableCaption"/>
      </w:pPr>
      <w:r>
        <w:t xml:space="preserve">Table 16: Navy CAPEX Distribution - Electrical</w:t>
      </w:r>
    </w:p>
    <w:tbl>
      <w:tblPr>
        <w:tblStyle w:val="Table"/>
        <w:tblW w:type="pct" w:w="5000"/>
        <w:tblLook w:firstRow="1" w:lastRow="0" w:firstColumn="0" w:lastColumn="0" w:noHBand="0" w:noVBand="0" w:val="0020"/>
        <w:tblCaption w:val="Table 16: Navy CAPEX Distribution - Electrical"/>
      </w:tblPr>
      <w:tblGrid>
        <w:gridCol w:w="2562"/>
        <w:gridCol w:w="931"/>
        <w:gridCol w:w="931"/>
        <w:gridCol w:w="1009"/>
        <w:gridCol w:w="854"/>
        <w:gridCol w:w="931"/>
        <w:gridCol w:w="698"/>
      </w:tblGrid>
      <w:tr>
        <w:trPr>
          <w:tblHeader w:val="true"/>
        </w:trPr>
        <w:tc>
          <w:tcPr/>
          <w:p>
            <w:pPr>
              <w:pStyle w:val="Compact"/>
              <w:jc w:val="left"/>
            </w:pPr>
            <w:r>
              <w:t xml:space="preserve">Facilities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Main Generator Room</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1,985,300</w:t>
            </w:r>
          </w:p>
        </w:tc>
        <w:tc>
          <w:tcPr/>
          <w:p>
            <w:pPr>
              <w:pStyle w:val="Compact"/>
              <w:jc w:val="right"/>
            </w:pPr>
            <w:r>
              <w:t xml:space="preserve">55.00</w:t>
            </w:r>
          </w:p>
        </w:tc>
      </w:tr>
      <w:tr>
        <w:tc>
          <w:tcPr/>
          <w:p>
            <w:pPr>
              <w:pStyle w:val="Compact"/>
              <w:jc w:val="left"/>
            </w:pPr>
            <w:r>
              <w:t xml:space="preserve">Main Office</w:t>
            </w:r>
          </w:p>
        </w:tc>
        <w:tc>
          <w:tcPr/>
          <w:p>
            <w:pPr>
              <w:pStyle w:val="Compact"/>
              <w:jc w:val="right"/>
            </w:pPr>
            <w:r>
              <w:t xml:space="preserve">220,590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12,600</w:t>
            </w:r>
          </w:p>
        </w:tc>
        <w:tc>
          <w:tcPr/>
          <w:p>
            <w:pPr>
              <w:pStyle w:val="Compact"/>
              <w:jc w:val="right"/>
            </w:pPr>
            <w:r>
              <w:t xml:space="preserve">527,310</w:t>
            </w:r>
          </w:p>
        </w:tc>
        <w:tc>
          <w:tcPr/>
          <w:p>
            <w:pPr>
              <w:pStyle w:val="Compact"/>
              <w:jc w:val="right"/>
            </w:pPr>
            <w:r>
              <w:t xml:space="preserve">14.61</w:t>
            </w:r>
          </w:p>
        </w:tc>
      </w:tr>
      <w:tr>
        <w:tc>
          <w:tcPr/>
          <w:p>
            <w:pPr>
              <w:pStyle w:val="Compact"/>
              <w:jc w:val="left"/>
            </w:pPr>
            <w:r>
              <w:t xml:space="preserve">Piping Pre-treatment building</w:t>
            </w:r>
            <w:r>
              <w:t xml:space="preserve"> </w:t>
            </w:r>
            <w:r>
              <w:t xml:space="preserve">Galva</w:t>
            </w:r>
          </w:p>
        </w:tc>
        <w:tc>
          <w:tcPr/>
          <w:p>
            <w:pPr>
              <w:pStyle w:val="Compact"/>
              <w:jc w:val="right"/>
            </w:pPr>
            <w:r>
              <w:t xml:space="preserve">227,460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227,460</w:t>
            </w:r>
          </w:p>
        </w:tc>
        <w:tc>
          <w:tcPr/>
          <w:p>
            <w:pPr>
              <w:pStyle w:val="Compact"/>
              <w:jc w:val="right"/>
            </w:pPr>
            <w:r>
              <w:t xml:space="preserve">6.30</w:t>
            </w:r>
          </w:p>
        </w:tc>
      </w:tr>
      <w:tr>
        <w:tc>
          <w:tcPr/>
          <w:p>
            <w:pPr>
              <w:pStyle w:val="Compact"/>
              <w:jc w:val="left"/>
            </w:pPr>
            <w:r>
              <w:t xml:space="preserve">Pipe Manufacture Shop A&amp;B</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140,000</w:t>
            </w:r>
          </w:p>
        </w:tc>
        <w:tc>
          <w:tcPr/>
          <w:p>
            <w:pPr>
              <w:pStyle w:val="Compact"/>
              <w:jc w:val="right"/>
            </w:pPr>
            <w:r>
              <w:t xml:space="preserve">140,000</w:t>
            </w:r>
          </w:p>
        </w:tc>
        <w:tc>
          <w:tcPr/>
          <w:p>
            <w:pPr>
              <w:pStyle w:val="Compact"/>
              <w:jc w:val="right"/>
            </w:pPr>
            <w:r>
              <w:t xml:space="preserve">3.88</w:t>
            </w:r>
          </w:p>
        </w:tc>
      </w:tr>
      <w:tr>
        <w:tc>
          <w:tcPr/>
          <w:p>
            <w:pPr>
              <w:pStyle w:val="Compact"/>
              <w:jc w:val="left"/>
            </w:pPr>
            <w:r>
              <w:t xml:space="preserve">Assembly Shop (D)</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70,000</w:t>
            </w:r>
          </w:p>
        </w:tc>
        <w:tc>
          <w:tcPr/>
          <w:p>
            <w:pPr>
              <w:pStyle w:val="Compact"/>
              <w:jc w:val="right"/>
            </w:pPr>
            <w:r>
              <w:t xml:space="preserve">1.94</w:t>
            </w:r>
          </w:p>
        </w:tc>
      </w:tr>
      <w:tr>
        <w:tc>
          <w:tcPr/>
          <w:p>
            <w:pPr>
              <w:pStyle w:val="Compact"/>
              <w:jc w:val="left"/>
            </w:pPr>
            <w:r>
              <w:t xml:space="preserve">Cable Cutting</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70,000</w:t>
            </w:r>
          </w:p>
        </w:tc>
        <w:tc>
          <w:tcPr/>
          <w:p>
            <w:pPr>
              <w:pStyle w:val="Compact"/>
              <w:jc w:val="right"/>
            </w:pPr>
            <w:r>
              <w:t xml:space="preserve">1.94</w:t>
            </w:r>
          </w:p>
        </w:tc>
      </w:tr>
      <w:tr>
        <w:tc>
          <w:tcPr/>
          <w:p>
            <w:pPr>
              <w:pStyle w:val="Compact"/>
              <w:jc w:val="left"/>
            </w:pPr>
            <w:r>
              <w:t xml:space="preserve">Electric Steel Outfitting Shop</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70,000</w:t>
            </w:r>
          </w:p>
        </w:tc>
        <w:tc>
          <w:tcPr/>
          <w:p>
            <w:pPr>
              <w:pStyle w:val="Compact"/>
              <w:jc w:val="right"/>
            </w:pPr>
            <w:r>
              <w:t xml:space="preserve">1.94</w:t>
            </w:r>
          </w:p>
        </w:tc>
      </w:tr>
      <w:tr>
        <w:tc>
          <w:tcPr/>
          <w:p>
            <w:pPr>
              <w:pStyle w:val="Compact"/>
              <w:jc w:val="left"/>
            </w:pPr>
            <w:r>
              <w:t xml:space="preserve">Shelter 712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70,000</w:t>
            </w:r>
          </w:p>
        </w:tc>
        <w:tc>
          <w:tcPr/>
          <w:p>
            <w:pPr>
              <w:pStyle w:val="Compact"/>
              <w:jc w:val="right"/>
            </w:pPr>
            <w:r>
              <w:t xml:space="preserve">70,000</w:t>
            </w:r>
          </w:p>
        </w:tc>
        <w:tc>
          <w:tcPr/>
          <w:p>
            <w:pPr>
              <w:pStyle w:val="Compact"/>
              <w:jc w:val="right"/>
            </w:pPr>
            <w:r>
              <w:t xml:space="preserve">1.94</w:t>
            </w:r>
          </w:p>
        </w:tc>
      </w:tr>
      <w:tr>
        <w:tc>
          <w:tcPr/>
          <w:p>
            <w:pPr>
              <w:pStyle w:val="Compact"/>
              <w:jc w:val="left"/>
            </w:pPr>
            <w:r>
              <w:t xml:space="preserve">Shelter for Piping</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70,000</w:t>
            </w:r>
          </w:p>
        </w:tc>
        <w:tc>
          <w:tcPr/>
          <w:p>
            <w:pPr>
              <w:pStyle w:val="Compact"/>
              <w:jc w:val="right"/>
            </w:pPr>
            <w:r>
              <w:t xml:space="preserve">70,000</w:t>
            </w:r>
          </w:p>
        </w:tc>
        <w:tc>
          <w:tcPr/>
          <w:p>
            <w:pPr>
              <w:pStyle w:val="Compact"/>
              <w:jc w:val="right"/>
            </w:pPr>
            <w:r>
              <w:t xml:space="preserve">1.94</w:t>
            </w:r>
          </w:p>
        </w:tc>
      </w:tr>
      <w:tr>
        <w:tc>
          <w:tcPr/>
          <w:p>
            <w:pPr>
              <w:pStyle w:val="Compact"/>
              <w:jc w:val="left"/>
            </w:pPr>
            <w:r>
              <w:t xml:space="preserve">Piping Shelter</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49,020</w:t>
            </w:r>
          </w:p>
        </w:tc>
        <w:tc>
          <w:tcPr/>
          <w:p>
            <w:pPr>
              <w:pStyle w:val="Compact"/>
              <w:jc w:val="right"/>
            </w:pPr>
            <w:r>
              <w:t xml:space="preserve">1.36</w:t>
            </w:r>
          </w:p>
        </w:tc>
      </w:tr>
      <w:tr>
        <w:tc>
          <w:tcPr/>
          <w:p>
            <w:pPr>
              <w:pStyle w:val="Compact"/>
              <w:jc w:val="left"/>
            </w:pPr>
            <w:r>
              <w:t xml:space="preserve">Painting Shop A -1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42,160</w:t>
            </w:r>
          </w:p>
        </w:tc>
        <w:tc>
          <w:tcPr/>
          <w:p>
            <w:pPr>
              <w:pStyle w:val="Compact"/>
              <w:jc w:val="right"/>
            </w:pPr>
            <w:r>
              <w:t xml:space="preserve">42,160</w:t>
            </w:r>
          </w:p>
        </w:tc>
        <w:tc>
          <w:tcPr/>
          <w:p>
            <w:pPr>
              <w:pStyle w:val="Compact"/>
              <w:jc w:val="right"/>
            </w:pPr>
            <w:r>
              <w:t xml:space="preserve">1.17</w:t>
            </w:r>
          </w:p>
        </w:tc>
      </w:tr>
      <w:tr>
        <w:tc>
          <w:tcPr/>
          <w:p>
            <w:pPr>
              <w:pStyle w:val="Compact"/>
              <w:jc w:val="left"/>
            </w:pPr>
            <w:r>
              <w:t xml:space="preserve">Barracks - Admin</w:t>
            </w:r>
          </w:p>
        </w:tc>
        <w:tc>
          <w:tcPr/>
          <w:p>
            <w:pPr>
              <w:pStyle w:val="Compact"/>
              <w:jc w:val="right"/>
            </w:pPr>
            <w:r>
              <w:t xml:space="preserve">29,420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29,420</w:t>
            </w:r>
          </w:p>
        </w:tc>
        <w:tc>
          <w:tcPr/>
          <w:p>
            <w:pPr>
              <w:pStyle w:val="Compact"/>
              <w:jc w:val="right"/>
            </w:pPr>
            <w:r>
              <w:t xml:space="preserve">0.82</w:t>
            </w:r>
          </w:p>
        </w:tc>
      </w:tr>
      <w:tr>
        <w:tc>
          <w:tcPr/>
          <w:p>
            <w:pPr>
              <w:pStyle w:val="Compact"/>
              <w:jc w:val="left"/>
            </w:pPr>
            <w:r>
              <w:t xml:space="preserve">Barracks - G2</w:t>
            </w:r>
          </w:p>
        </w:tc>
        <w:tc>
          <w:tcPr/>
          <w:p>
            <w:pPr>
              <w:pStyle w:val="Compact"/>
              <w:jc w:val="right"/>
            </w:pPr>
            <w:r>
              <w:t xml:space="preserve">29,420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29,420</w:t>
            </w:r>
          </w:p>
        </w:tc>
        <w:tc>
          <w:tcPr/>
          <w:p>
            <w:pPr>
              <w:pStyle w:val="Compact"/>
              <w:jc w:val="right"/>
            </w:pPr>
            <w:r>
              <w:t xml:space="preserve">0.82</w:t>
            </w:r>
          </w:p>
        </w:tc>
      </w:tr>
      <w:tr>
        <w:tc>
          <w:tcPr/>
          <w:p>
            <w:pPr>
              <w:pStyle w:val="Compact"/>
              <w:jc w:val="left"/>
            </w:pPr>
            <w:r>
              <w:t xml:space="preserve">Barracks - C</w:t>
            </w:r>
          </w:p>
        </w:tc>
        <w:tc>
          <w:tcPr/>
          <w:p>
            <w:pPr>
              <w:pStyle w:val="Compact"/>
              <w:jc w:val="right"/>
            </w:pPr>
            <w:r>
              <w:t xml:space="preserve">25,500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25,500</w:t>
            </w:r>
          </w:p>
        </w:tc>
        <w:tc>
          <w:tcPr/>
          <w:p>
            <w:pPr>
              <w:pStyle w:val="Compact"/>
              <w:jc w:val="right"/>
            </w:pPr>
            <w:r>
              <w:t xml:space="preserve">0.71</w:t>
            </w:r>
          </w:p>
        </w:tc>
      </w:tr>
      <w:tr>
        <w:tc>
          <w:tcPr/>
          <w:p>
            <w:pPr>
              <w:pStyle w:val="Compact"/>
              <w:jc w:val="left"/>
            </w:pPr>
            <w:r>
              <w:t xml:space="preserve">Barracks - E</w:t>
            </w:r>
          </w:p>
        </w:tc>
        <w:tc>
          <w:tcPr/>
          <w:p>
            <w:pPr>
              <w:pStyle w:val="Compact"/>
              <w:jc w:val="right"/>
            </w:pPr>
            <w:r>
              <w:t xml:space="preserve">25,500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25,500</w:t>
            </w:r>
          </w:p>
        </w:tc>
        <w:tc>
          <w:tcPr/>
          <w:p>
            <w:pPr>
              <w:pStyle w:val="Compact"/>
              <w:jc w:val="right"/>
            </w:pPr>
            <w:r>
              <w:t xml:space="preserve">0.71</w:t>
            </w:r>
          </w:p>
        </w:tc>
      </w:tr>
      <w:tr>
        <w:tc>
          <w:tcPr/>
          <w:p>
            <w:pPr>
              <w:pStyle w:val="Compact"/>
              <w:jc w:val="left"/>
            </w:pPr>
            <w:r>
              <w:t xml:space="preserve">Field Office 5</w:t>
            </w:r>
          </w:p>
        </w:tc>
        <w:tc>
          <w:tcPr/>
          <w:p>
            <w:pPr>
              <w:pStyle w:val="Compact"/>
              <w:jc w:val="right"/>
            </w:pPr>
            <w:r>
              <w:t xml:space="preserve">25,430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25,430</w:t>
            </w:r>
          </w:p>
        </w:tc>
        <w:tc>
          <w:tcPr/>
          <w:p>
            <w:pPr>
              <w:pStyle w:val="Compact"/>
              <w:jc w:val="right"/>
            </w:pPr>
            <w:r>
              <w:t xml:space="preserve">0.70</w:t>
            </w:r>
          </w:p>
        </w:tc>
      </w:tr>
      <w:tr>
        <w:tc>
          <w:tcPr/>
          <w:p>
            <w:pPr>
              <w:pStyle w:val="Compact"/>
              <w:jc w:val="left"/>
            </w:pPr>
            <w:r>
              <w:t xml:space="preserve">Field Office 13</w:t>
            </w:r>
          </w:p>
        </w:tc>
        <w:tc>
          <w:tcPr/>
          <w:p>
            <w:pPr>
              <w:pStyle w:val="Compact"/>
              <w:jc w:val="right"/>
            </w:pPr>
            <w:r>
              <w:t xml:space="preserve">24,720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24,720</w:t>
            </w:r>
          </w:p>
        </w:tc>
        <w:tc>
          <w:tcPr/>
          <w:p>
            <w:pPr>
              <w:pStyle w:val="Compact"/>
              <w:jc w:val="right"/>
            </w:pPr>
            <w:r>
              <w:t xml:space="preserve">0.68</w:t>
            </w:r>
          </w:p>
        </w:tc>
      </w:tr>
      <w:tr>
        <w:tc>
          <w:tcPr/>
          <w:p>
            <w:pPr>
              <w:pStyle w:val="Compact"/>
              <w:jc w:val="left"/>
            </w:pPr>
            <w:r>
              <w:t xml:space="preserve">Barracks - G1</w:t>
            </w:r>
          </w:p>
        </w:tc>
        <w:tc>
          <w:tcPr/>
          <w:p>
            <w:pPr>
              <w:pStyle w:val="Compact"/>
              <w:jc w:val="right"/>
            </w:pPr>
            <w:r>
              <w:t xml:space="preserve">21,570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21,570</w:t>
            </w:r>
          </w:p>
        </w:tc>
        <w:tc>
          <w:tcPr/>
          <w:p>
            <w:pPr>
              <w:pStyle w:val="Compact"/>
              <w:jc w:val="right"/>
            </w:pPr>
            <w:r>
              <w:t xml:space="preserve">0.60</w:t>
            </w:r>
          </w:p>
        </w:tc>
      </w:tr>
      <w:tr>
        <w:tc>
          <w:tcPr/>
          <w:p>
            <w:pPr>
              <w:pStyle w:val="Compact"/>
              <w:jc w:val="left"/>
            </w:pPr>
            <w:r>
              <w:t xml:space="preserve">Barracks - D</w:t>
            </w:r>
          </w:p>
        </w:tc>
        <w:tc>
          <w:tcPr/>
          <w:p>
            <w:pPr>
              <w:pStyle w:val="Compact"/>
              <w:jc w:val="right"/>
            </w:pPr>
            <w:r>
              <w:t xml:space="preserve">20,590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20,590</w:t>
            </w:r>
          </w:p>
        </w:tc>
        <w:tc>
          <w:tcPr/>
          <w:p>
            <w:pPr>
              <w:pStyle w:val="Compact"/>
              <w:jc w:val="right"/>
            </w:pPr>
            <w:r>
              <w:t xml:space="preserve">0.57</w:t>
            </w:r>
          </w:p>
        </w:tc>
      </w:tr>
      <w:tr>
        <w:tc>
          <w:tcPr/>
          <w:p>
            <w:pPr>
              <w:pStyle w:val="Compact"/>
              <w:jc w:val="left"/>
            </w:pPr>
            <w:r>
              <w:t xml:space="preserve">Field Office 14</w:t>
            </w:r>
          </w:p>
        </w:tc>
        <w:tc>
          <w:tcPr/>
          <w:p>
            <w:pPr>
              <w:pStyle w:val="Compact"/>
              <w:jc w:val="right"/>
            </w:pPr>
            <w:r>
              <w:t xml:space="preserve">18,240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18,240</w:t>
            </w:r>
          </w:p>
        </w:tc>
        <w:tc>
          <w:tcPr/>
          <w:p>
            <w:pPr>
              <w:pStyle w:val="Compact"/>
              <w:jc w:val="right"/>
            </w:pPr>
            <w:r>
              <w:t xml:space="preserve">0.51</w:t>
            </w:r>
          </w:p>
        </w:tc>
      </w:tr>
      <w:tr>
        <w:tc>
          <w:tcPr/>
          <w:p>
            <w:pPr>
              <w:pStyle w:val="Compact"/>
              <w:jc w:val="left"/>
            </w:pPr>
            <w:r>
              <w:t xml:space="preserve">Catering Center</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16,450</w:t>
            </w:r>
          </w:p>
        </w:tc>
        <w:tc>
          <w:tcPr/>
          <w:p>
            <w:pPr>
              <w:pStyle w:val="Compact"/>
              <w:jc w:val="right"/>
            </w:pPr>
            <w:r>
              <w:t xml:space="preserve">16,450</w:t>
            </w:r>
          </w:p>
        </w:tc>
        <w:tc>
          <w:tcPr/>
          <w:p>
            <w:pPr>
              <w:pStyle w:val="Compact"/>
              <w:jc w:val="right"/>
            </w:pPr>
            <w:r>
              <w:t xml:space="preserve">0.46</w:t>
            </w:r>
          </w:p>
        </w:tc>
      </w:tr>
      <w:tr>
        <w:tc>
          <w:tcPr/>
          <w:p>
            <w:pPr>
              <w:pStyle w:val="Compact"/>
              <w:jc w:val="left"/>
            </w:pPr>
            <w:r>
              <w:t xml:space="preserve">Barracks - B</w:t>
            </w:r>
          </w:p>
        </w:tc>
        <w:tc>
          <w:tcPr/>
          <w:p>
            <w:pPr>
              <w:pStyle w:val="Compact"/>
              <w:jc w:val="right"/>
            </w:pPr>
            <w:r>
              <w:t xml:space="preserve">15,300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15,300</w:t>
            </w:r>
          </w:p>
        </w:tc>
        <w:tc>
          <w:tcPr/>
          <w:p>
            <w:pPr>
              <w:pStyle w:val="Compact"/>
              <w:jc w:val="right"/>
            </w:pPr>
            <w:r>
              <w:t xml:space="preserve">0.42</w:t>
            </w:r>
          </w:p>
        </w:tc>
      </w:tr>
      <w:tr>
        <w:tc>
          <w:tcPr/>
          <w:p>
            <w:pPr>
              <w:pStyle w:val="Compact"/>
              <w:jc w:val="left"/>
            </w:pPr>
            <w:r>
              <w:t xml:space="preserve">Sub Station #31</w:t>
            </w:r>
          </w:p>
        </w:tc>
        <w:tc>
          <w:tcPr/>
          <w:p>
            <w:pPr>
              <w:pStyle w:val="Compact"/>
              <w:jc w:val="right"/>
            </w:pPr>
            <w:r>
              <w:t xml:space="preserve">9,810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490</w:t>
            </w:r>
          </w:p>
        </w:tc>
        <w:tc>
          <w:tcPr/>
          <w:p>
            <w:pPr>
              <w:pStyle w:val="Compact"/>
              <w:jc w:val="right"/>
            </w:pPr>
            <w:r>
              <w:t xml:space="preserve">10,300</w:t>
            </w:r>
          </w:p>
        </w:tc>
        <w:tc>
          <w:tcPr/>
          <w:p>
            <w:pPr>
              <w:pStyle w:val="Compact"/>
              <w:jc w:val="right"/>
            </w:pPr>
            <w:r>
              <w:t xml:space="preserve">0.29</w:t>
            </w:r>
          </w:p>
        </w:tc>
      </w:tr>
      <w:tr>
        <w:tc>
          <w:tcPr/>
          <w:p>
            <w:pPr>
              <w:pStyle w:val="Compact"/>
              <w:jc w:val="left"/>
            </w:pPr>
            <w:r>
              <w:t xml:space="preserve">Sub Station #33</w:t>
            </w:r>
          </w:p>
        </w:tc>
        <w:tc>
          <w:tcPr/>
          <w:p>
            <w:pPr>
              <w:pStyle w:val="Compact"/>
              <w:jc w:val="right"/>
            </w:pPr>
            <w:r>
              <w:t xml:space="preserve">9,810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490</w:t>
            </w:r>
          </w:p>
        </w:tc>
        <w:tc>
          <w:tcPr/>
          <w:p>
            <w:pPr>
              <w:pStyle w:val="Compact"/>
              <w:jc w:val="right"/>
            </w:pPr>
            <w:r>
              <w:t xml:space="preserve">10,300</w:t>
            </w:r>
          </w:p>
        </w:tc>
        <w:tc>
          <w:tcPr/>
          <w:p>
            <w:pPr>
              <w:pStyle w:val="Compact"/>
              <w:jc w:val="right"/>
            </w:pPr>
            <w:r>
              <w:t xml:space="preserve">0.29</w:t>
            </w:r>
          </w:p>
        </w:tc>
      </w:tr>
      <w:tr>
        <w:tc>
          <w:tcPr/>
          <w:p>
            <w:pPr>
              <w:pStyle w:val="Compact"/>
              <w:jc w:val="left"/>
            </w:pPr>
            <w:r>
              <w:t xml:space="preserve">Sub Station #35</w:t>
            </w:r>
          </w:p>
        </w:tc>
        <w:tc>
          <w:tcPr/>
          <w:p>
            <w:pPr>
              <w:pStyle w:val="Compact"/>
              <w:jc w:val="right"/>
            </w:pPr>
            <w:r>
              <w:t xml:space="preserve">9,810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490</w:t>
            </w:r>
          </w:p>
        </w:tc>
        <w:tc>
          <w:tcPr/>
          <w:p>
            <w:pPr>
              <w:pStyle w:val="Compact"/>
              <w:jc w:val="right"/>
            </w:pPr>
            <w:r>
              <w:t xml:space="preserve">10,300</w:t>
            </w:r>
          </w:p>
        </w:tc>
        <w:tc>
          <w:tcPr/>
          <w:p>
            <w:pPr>
              <w:pStyle w:val="Compact"/>
              <w:jc w:val="right"/>
            </w:pPr>
            <w:r>
              <w:t xml:space="preserve">0.29</w:t>
            </w:r>
          </w:p>
        </w:tc>
      </w:tr>
      <w:tr>
        <w:tc>
          <w:tcPr/>
          <w:p>
            <w:pPr>
              <w:pStyle w:val="Compact"/>
              <w:jc w:val="left"/>
            </w:pPr>
            <w:r>
              <w:t xml:space="preserve">Guest House</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3,920</w:t>
            </w:r>
          </w:p>
        </w:tc>
        <w:tc>
          <w:tcPr/>
          <w:p>
            <w:pPr>
              <w:pStyle w:val="Compact"/>
              <w:jc w:val="right"/>
            </w:pPr>
            <w:r>
              <w:t xml:space="preserve">3,920</w:t>
            </w:r>
          </w:p>
        </w:tc>
        <w:tc>
          <w:tcPr/>
          <w:p>
            <w:pPr>
              <w:pStyle w:val="Compact"/>
              <w:jc w:val="right"/>
            </w:pPr>
            <w:r>
              <w:t xml:space="preserve">0.11</w:t>
            </w:r>
          </w:p>
        </w:tc>
      </w:tr>
      <w:tr>
        <w:tc>
          <w:tcPr/>
          <w:p>
            <w:pPr>
              <w:pStyle w:val="Compact"/>
              <w:jc w:val="left"/>
            </w:pPr>
            <w:r>
              <w:t xml:space="preserve">Barracks - Accommodation</w:t>
            </w:r>
          </w:p>
        </w:tc>
        <w:tc>
          <w:tcPr/>
          <w:p>
            <w:pPr>
              <w:pStyle w:val="Compact"/>
              <w:jc w:val="right"/>
            </w:pPr>
            <w:r>
              <w:t xml:space="preserve">1,380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1,380</w:t>
            </w:r>
          </w:p>
        </w:tc>
        <w:tc>
          <w:tcPr/>
          <w:p>
            <w:pPr>
              <w:pStyle w:val="Compact"/>
              <w:jc w:val="right"/>
            </w:pPr>
            <w:r>
              <w:t xml:space="preserve">0.04</w:t>
            </w:r>
          </w:p>
        </w:tc>
      </w:tr>
      <w:tr>
        <w:tc>
          <w:tcPr/>
          <w:p>
            <w:pPr>
              <w:pStyle w:val="Compact"/>
              <w:jc w:val="left"/>
            </w:pPr>
            <w:r>
              <w:t xml:space="preserve">Total</w:t>
            </w:r>
          </w:p>
        </w:tc>
        <w:tc>
          <w:tcPr/>
          <w:p>
            <w:pPr>
              <w:pStyle w:val="Compact"/>
              <w:jc w:val="right"/>
            </w:pPr>
            <w:r>
              <w:t xml:space="preserve">714,550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356,600</w:t>
            </w:r>
          </w:p>
        </w:tc>
        <w:tc>
          <w:tcPr/>
          <w:p>
            <w:pPr>
              <w:pStyle w:val="Compact"/>
              <w:jc w:val="right"/>
            </w:pPr>
            <w:r>
              <w:t xml:space="preserve">3,609,590</w:t>
            </w:r>
          </w:p>
        </w:tc>
        <w:tc>
          <w:tcPr/>
          <w:p>
            <w:pPr>
              <w:pStyle w:val="Compact"/>
              <w:jc w:val="right"/>
            </w:pPr>
            <w:r>
              <w:t xml:space="preserve">100.00</w:t>
            </w:r>
          </w:p>
        </w:tc>
      </w:tr>
    </w:tbl>
    <w:p>
      <w:pPr>
        <w:pStyle w:val="BodyText"/>
      </w:pPr>
      <w:r>
        <w:t xml:space="preserve">Table</w:t>
      </w:r>
      <w:r>
        <w:t xml:space="preserve"> </w:t>
      </w:r>
      <w:r>
        <w:t xml:space="preserve">17</w:t>
      </w:r>
      <w:r>
        <w:t xml:space="preserve"> </w:t>
      </w:r>
      <w:r>
        <w:t xml:space="preserve">presents a summary of CAPEX items subjected to Miscellaneous.</w:t>
      </w:r>
    </w:p>
    <w:p>
      <w:pPr>
        <w:pStyle w:val="TableCaption"/>
      </w:pPr>
      <w:r>
        <w:t xml:space="preserve">Table 17: Navy CAPEX Distribution - Miscellaneous</w:t>
      </w:r>
    </w:p>
    <w:tbl>
      <w:tblPr>
        <w:tblStyle w:val="Table"/>
        <w:tblW w:type="pct" w:w="5000"/>
        <w:tblLook w:firstRow="1" w:lastRow="0" w:firstColumn="0" w:lastColumn="0" w:noHBand="0" w:noVBand="0" w:val="0020"/>
        <w:tblCaption w:val="Table 17: Navy CAPEX Distribution - Miscellaneous"/>
      </w:tblPr>
      <w:tblGrid>
        <w:gridCol w:w="2587"/>
        <w:gridCol w:w="940"/>
        <w:gridCol w:w="940"/>
        <w:gridCol w:w="1019"/>
        <w:gridCol w:w="862"/>
        <w:gridCol w:w="784"/>
        <w:gridCol w:w="784"/>
      </w:tblGrid>
      <w:tr>
        <w:trPr>
          <w:tblHeader w:val="true"/>
        </w:trPr>
        <w:tc>
          <w:tcPr/>
          <w:p>
            <w:pPr>
              <w:pStyle w:val="Compact"/>
              <w:jc w:val="left"/>
            </w:pPr>
            <w:r>
              <w:t xml:space="preserve">Facilities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Electric Steel Outfitting Shop</w:t>
            </w:r>
            <w:r>
              <w:t xml:space="preserve"> </w:t>
            </w:r>
            <w:r>
              <w:t xml:space="preserve">(Building at the back)</w:t>
            </w:r>
          </w:p>
        </w:tc>
        <w:tc>
          <w:tcPr/>
          <w:p>
            <w:pPr>
              <w:pStyle w:val="Compact"/>
              <w:jc w:val="right"/>
            </w:pPr>
            <w:r>
              <w:t xml:space="preserve">121,480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121,480</w:t>
            </w:r>
          </w:p>
        </w:tc>
        <w:tc>
          <w:tcPr/>
          <w:p>
            <w:pPr>
              <w:pStyle w:val="Compact"/>
              <w:jc w:val="right"/>
            </w:pPr>
            <w:r>
              <w:t xml:space="preserve">13.88</w:t>
            </w:r>
          </w:p>
        </w:tc>
      </w:tr>
      <w:tr>
        <w:tc>
          <w:tcPr/>
          <w:p>
            <w:pPr>
              <w:pStyle w:val="Compact"/>
              <w:jc w:val="left"/>
            </w:pPr>
            <w:r>
              <w:t xml:space="preserve">Main Office</w:t>
            </w:r>
          </w:p>
        </w:tc>
        <w:tc>
          <w:tcPr/>
          <w:p>
            <w:pPr>
              <w:pStyle w:val="Compact"/>
              <w:jc w:val="right"/>
            </w:pPr>
            <w:r>
              <w:t xml:space="preserve">61,520</w:t>
            </w:r>
          </w:p>
        </w:tc>
        <w:tc>
          <w:tcPr/>
          <w:p>
            <w:pPr>
              <w:pStyle w:val="Compact"/>
              <w:jc w:val="right"/>
            </w:pPr>
            <w:r>
              <w:t xml:space="preserve">28,680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90,200</w:t>
            </w:r>
          </w:p>
        </w:tc>
        <w:tc>
          <w:tcPr/>
          <w:p>
            <w:pPr>
              <w:pStyle w:val="Compact"/>
              <w:jc w:val="right"/>
            </w:pPr>
            <w:r>
              <w:t xml:space="preserve">10.31</w:t>
            </w:r>
          </w:p>
        </w:tc>
      </w:tr>
      <w:tr>
        <w:tc>
          <w:tcPr/>
          <w:p>
            <w:pPr>
              <w:pStyle w:val="Compact"/>
              <w:jc w:val="left"/>
            </w:pPr>
            <w:r>
              <w:t xml:space="preserve">Guest House</w:t>
            </w:r>
          </w:p>
        </w:tc>
        <w:tc>
          <w:tcPr/>
          <w:p>
            <w:pPr>
              <w:pStyle w:val="Compact"/>
              <w:jc w:val="right"/>
            </w:pPr>
            <w:r>
              <w:t xml:space="preserve">57,400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57,400</w:t>
            </w:r>
          </w:p>
        </w:tc>
        <w:tc>
          <w:tcPr/>
          <w:p>
            <w:pPr>
              <w:pStyle w:val="Compact"/>
              <w:jc w:val="right"/>
            </w:pPr>
            <w:r>
              <w:t xml:space="preserve">6.56</w:t>
            </w:r>
          </w:p>
        </w:tc>
      </w:tr>
      <w:tr>
        <w:tc>
          <w:tcPr/>
          <w:p>
            <w:pPr>
              <w:pStyle w:val="Compact"/>
              <w:jc w:val="left"/>
            </w:pPr>
            <w:r>
              <w:t xml:space="preserve">Electric Steel Outfitting Shop</w:t>
            </w:r>
          </w:p>
        </w:tc>
        <w:tc>
          <w:tcPr/>
          <w:p>
            <w:pPr>
              <w:pStyle w:val="Compact"/>
              <w:jc w:val="right"/>
            </w:pPr>
            <w:r>
              <w:t xml:space="preserve">51,770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51,770</w:t>
            </w:r>
          </w:p>
        </w:tc>
        <w:tc>
          <w:tcPr/>
          <w:p>
            <w:pPr>
              <w:pStyle w:val="Compact"/>
              <w:jc w:val="right"/>
            </w:pPr>
            <w:r>
              <w:t xml:space="preserve">5.92</w:t>
            </w:r>
          </w:p>
        </w:tc>
      </w:tr>
      <w:tr>
        <w:tc>
          <w:tcPr/>
          <w:p>
            <w:pPr>
              <w:pStyle w:val="Compact"/>
              <w:jc w:val="left"/>
            </w:pPr>
            <w:r>
              <w:t xml:space="preserve">Barracks - K</w:t>
            </w:r>
          </w:p>
        </w:tc>
        <w:tc>
          <w:tcPr/>
          <w:p>
            <w:pPr>
              <w:pStyle w:val="Compact"/>
              <w:jc w:val="right"/>
            </w:pPr>
            <w:r>
              <w:t xml:space="preserve">50,990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50,990</w:t>
            </w:r>
          </w:p>
        </w:tc>
        <w:tc>
          <w:tcPr/>
          <w:p>
            <w:pPr>
              <w:pStyle w:val="Compact"/>
              <w:jc w:val="right"/>
            </w:pPr>
            <w:r>
              <w:t xml:space="preserve">5.83</w:t>
            </w:r>
          </w:p>
        </w:tc>
      </w:tr>
      <w:tr>
        <w:tc>
          <w:tcPr/>
          <w:p>
            <w:pPr>
              <w:pStyle w:val="Compact"/>
              <w:jc w:val="left"/>
            </w:pPr>
            <w:r>
              <w:t xml:space="preserve">Convenience Store building</w:t>
            </w:r>
          </w:p>
        </w:tc>
        <w:tc>
          <w:tcPr/>
          <w:p>
            <w:pPr>
              <w:pStyle w:val="Compact"/>
              <w:jc w:val="right"/>
            </w:pPr>
            <w:r>
              <w:t xml:space="preserve">0</w:t>
            </w:r>
          </w:p>
        </w:tc>
        <w:tc>
          <w:tcPr/>
          <w:p>
            <w:pPr>
              <w:pStyle w:val="Compact"/>
              <w:jc w:val="right"/>
            </w:pPr>
            <w:r>
              <w:t xml:space="preserve">49,220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49,220</w:t>
            </w:r>
          </w:p>
        </w:tc>
        <w:tc>
          <w:tcPr/>
          <w:p>
            <w:pPr>
              <w:pStyle w:val="Compact"/>
              <w:jc w:val="right"/>
            </w:pPr>
            <w:r>
              <w:t xml:space="preserve">5.62</w:t>
            </w:r>
          </w:p>
        </w:tc>
      </w:tr>
      <w:tr>
        <w:tc>
          <w:tcPr/>
          <w:p>
            <w:pPr>
              <w:pStyle w:val="Compact"/>
              <w:jc w:val="left"/>
            </w:pPr>
            <w:r>
              <w:t xml:space="preserve">Helicopter Hangar</w:t>
            </w:r>
          </w:p>
        </w:tc>
        <w:tc>
          <w:tcPr/>
          <w:p>
            <w:pPr>
              <w:pStyle w:val="Compact"/>
              <w:jc w:val="right"/>
            </w:pPr>
            <w:r>
              <w:t xml:space="preserve">44,120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44,120</w:t>
            </w:r>
          </w:p>
        </w:tc>
        <w:tc>
          <w:tcPr/>
          <w:p>
            <w:pPr>
              <w:pStyle w:val="Compact"/>
              <w:jc w:val="right"/>
            </w:pPr>
            <w:r>
              <w:t xml:space="preserve">5.04</w:t>
            </w:r>
          </w:p>
        </w:tc>
      </w:tr>
      <w:tr>
        <w:tc>
          <w:tcPr/>
          <w:p>
            <w:pPr>
              <w:pStyle w:val="Compact"/>
              <w:jc w:val="left"/>
            </w:pPr>
            <w:r>
              <w:t xml:space="preserve">Main Gate</w:t>
            </w:r>
          </w:p>
        </w:tc>
        <w:tc>
          <w:tcPr/>
          <w:p>
            <w:pPr>
              <w:pStyle w:val="Compact"/>
              <w:jc w:val="right"/>
            </w:pPr>
            <w:r>
              <w:t xml:space="preserve">0</w:t>
            </w:r>
          </w:p>
        </w:tc>
        <w:tc>
          <w:tcPr/>
          <w:p>
            <w:pPr>
              <w:pStyle w:val="Compact"/>
              <w:jc w:val="right"/>
            </w:pPr>
            <w:r>
              <w:t xml:space="preserve">39,480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39,480</w:t>
            </w:r>
          </w:p>
        </w:tc>
        <w:tc>
          <w:tcPr/>
          <w:p>
            <w:pPr>
              <w:pStyle w:val="Compact"/>
              <w:jc w:val="right"/>
            </w:pPr>
            <w:r>
              <w:t xml:space="preserve">4.51</w:t>
            </w:r>
          </w:p>
        </w:tc>
      </w:tr>
      <w:tr>
        <w:tc>
          <w:tcPr/>
          <w:p>
            <w:pPr>
              <w:pStyle w:val="Compact"/>
              <w:jc w:val="left"/>
            </w:pPr>
            <w:r>
              <w:t xml:space="preserve">Piping Pre-treatment building</w:t>
            </w:r>
            <w:r>
              <w:t xml:space="preserve"> </w:t>
            </w:r>
            <w:r>
              <w:t xml:space="preserve">Galva</w:t>
            </w:r>
          </w:p>
        </w:tc>
        <w:tc>
          <w:tcPr/>
          <w:p>
            <w:pPr>
              <w:pStyle w:val="Compact"/>
              <w:jc w:val="right"/>
            </w:pPr>
            <w:r>
              <w:t xml:space="preserve">38,300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38,300</w:t>
            </w:r>
          </w:p>
        </w:tc>
        <w:tc>
          <w:tcPr/>
          <w:p>
            <w:pPr>
              <w:pStyle w:val="Compact"/>
              <w:jc w:val="right"/>
            </w:pPr>
            <w:r>
              <w:t xml:space="preserve">4.38</w:t>
            </w:r>
          </w:p>
        </w:tc>
      </w:tr>
      <w:tr>
        <w:tc>
          <w:tcPr/>
          <w:p>
            <w:pPr>
              <w:pStyle w:val="Compact"/>
              <w:jc w:val="left"/>
            </w:pPr>
            <w:r>
              <w:t xml:space="preserve">Catering Center</w:t>
            </w:r>
          </w:p>
        </w:tc>
        <w:tc>
          <w:tcPr/>
          <w:p>
            <w:pPr>
              <w:pStyle w:val="Compact"/>
              <w:jc w:val="right"/>
            </w:pPr>
            <w:r>
              <w:t xml:space="preserve">37,900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37,900</w:t>
            </w:r>
          </w:p>
        </w:tc>
        <w:tc>
          <w:tcPr/>
          <w:p>
            <w:pPr>
              <w:pStyle w:val="Compact"/>
              <w:jc w:val="right"/>
            </w:pPr>
            <w:r>
              <w:t xml:space="preserve">4.33</w:t>
            </w:r>
          </w:p>
        </w:tc>
      </w:tr>
      <w:tr>
        <w:tc>
          <w:tcPr/>
          <w:p>
            <w:pPr>
              <w:pStyle w:val="Compact"/>
              <w:jc w:val="left"/>
            </w:pPr>
            <w:r>
              <w:t xml:space="preserve">Barracks - F</w:t>
            </w:r>
          </w:p>
        </w:tc>
        <w:tc>
          <w:tcPr/>
          <w:p>
            <w:pPr>
              <w:pStyle w:val="Compact"/>
              <w:jc w:val="right"/>
            </w:pPr>
            <w:r>
              <w:t xml:space="preserve">34,320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34,320</w:t>
            </w:r>
          </w:p>
        </w:tc>
        <w:tc>
          <w:tcPr/>
          <w:p>
            <w:pPr>
              <w:pStyle w:val="Compact"/>
              <w:jc w:val="right"/>
            </w:pPr>
            <w:r>
              <w:t xml:space="preserve">3.92</w:t>
            </w:r>
          </w:p>
        </w:tc>
      </w:tr>
      <w:tr>
        <w:tc>
          <w:tcPr/>
          <w:p>
            <w:pPr>
              <w:pStyle w:val="Compact"/>
              <w:jc w:val="left"/>
            </w:pPr>
            <w:r>
              <w:t xml:space="preserve">Shelter 712</w:t>
            </w:r>
          </w:p>
        </w:tc>
        <w:tc>
          <w:tcPr/>
          <w:p>
            <w:pPr>
              <w:pStyle w:val="Compact"/>
              <w:jc w:val="right"/>
            </w:pPr>
            <w:r>
              <w:t xml:space="preserve">32,360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32,360</w:t>
            </w:r>
          </w:p>
        </w:tc>
        <w:tc>
          <w:tcPr/>
          <w:p>
            <w:pPr>
              <w:pStyle w:val="Compact"/>
              <w:jc w:val="right"/>
            </w:pPr>
            <w:r>
              <w:t xml:space="preserve">3.70</w:t>
            </w:r>
          </w:p>
        </w:tc>
      </w:tr>
      <w:tr>
        <w:tc>
          <w:tcPr/>
          <w:p>
            <w:pPr>
              <w:pStyle w:val="Compact"/>
              <w:jc w:val="left"/>
            </w:pPr>
            <w:r>
              <w:t xml:space="preserve">Gasoline Station</w:t>
            </w:r>
          </w:p>
        </w:tc>
        <w:tc>
          <w:tcPr/>
          <w:p>
            <w:pPr>
              <w:pStyle w:val="Compact"/>
              <w:jc w:val="right"/>
            </w:pPr>
            <w:r>
              <w:t xml:space="preserve">29,420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29,420</w:t>
            </w:r>
          </w:p>
        </w:tc>
        <w:tc>
          <w:tcPr/>
          <w:p>
            <w:pPr>
              <w:pStyle w:val="Compact"/>
              <w:jc w:val="right"/>
            </w:pPr>
            <w:r>
              <w:t xml:space="preserve">3.36</w:t>
            </w:r>
          </w:p>
        </w:tc>
      </w:tr>
      <w:tr>
        <w:tc>
          <w:tcPr/>
          <w:p>
            <w:pPr>
              <w:pStyle w:val="Compact"/>
              <w:jc w:val="left"/>
            </w:pPr>
            <w:r>
              <w:t xml:space="preserve">Canteen-Romanian</w:t>
            </w:r>
          </w:p>
        </w:tc>
        <w:tc>
          <w:tcPr/>
          <w:p>
            <w:pPr>
              <w:pStyle w:val="Compact"/>
              <w:jc w:val="right"/>
            </w:pPr>
            <w:r>
              <w:t xml:space="preserve">0</w:t>
            </w:r>
          </w:p>
        </w:tc>
        <w:tc>
          <w:tcPr/>
          <w:p>
            <w:pPr>
              <w:pStyle w:val="Compact"/>
              <w:jc w:val="right"/>
            </w:pPr>
            <w:r>
              <w:t xml:space="preserve">21,570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21,570</w:t>
            </w:r>
          </w:p>
        </w:tc>
        <w:tc>
          <w:tcPr/>
          <w:p>
            <w:pPr>
              <w:pStyle w:val="Compact"/>
              <w:jc w:val="right"/>
            </w:pPr>
            <w:r>
              <w:t xml:space="preserve">2.47</w:t>
            </w:r>
          </w:p>
        </w:tc>
      </w:tr>
      <w:tr>
        <w:tc>
          <w:tcPr/>
          <w:p>
            <w:pPr>
              <w:pStyle w:val="Compact"/>
              <w:jc w:val="left"/>
            </w:pPr>
            <w:r>
              <w:t xml:space="preserve">Cable Cutting</w:t>
            </w:r>
          </w:p>
        </w:tc>
        <w:tc>
          <w:tcPr/>
          <w:p>
            <w:pPr>
              <w:pStyle w:val="Compact"/>
              <w:jc w:val="right"/>
            </w:pPr>
            <w:r>
              <w:t xml:space="preserve">20,370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20,370</w:t>
            </w:r>
          </w:p>
        </w:tc>
        <w:tc>
          <w:tcPr/>
          <w:p>
            <w:pPr>
              <w:pStyle w:val="Compact"/>
              <w:jc w:val="right"/>
            </w:pPr>
            <w:r>
              <w:t xml:space="preserve">2.33</w:t>
            </w:r>
          </w:p>
        </w:tc>
      </w:tr>
      <w:tr>
        <w:tc>
          <w:tcPr/>
          <w:p>
            <w:pPr>
              <w:pStyle w:val="Compact"/>
              <w:jc w:val="left"/>
            </w:pPr>
            <w:r>
              <w:t xml:space="preserve">Sub Station #31</w:t>
            </w:r>
          </w:p>
        </w:tc>
        <w:tc>
          <w:tcPr/>
          <w:p>
            <w:pPr>
              <w:pStyle w:val="Compact"/>
              <w:jc w:val="right"/>
            </w:pPr>
            <w:r>
              <w:t xml:space="preserve">18,830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18,830</w:t>
            </w:r>
          </w:p>
        </w:tc>
        <w:tc>
          <w:tcPr/>
          <w:p>
            <w:pPr>
              <w:pStyle w:val="Compact"/>
              <w:jc w:val="right"/>
            </w:pPr>
            <w:r>
              <w:t xml:space="preserve">2.15</w:t>
            </w:r>
          </w:p>
        </w:tc>
      </w:tr>
      <w:tr>
        <w:tc>
          <w:tcPr/>
          <w:p>
            <w:pPr>
              <w:pStyle w:val="Compact"/>
              <w:jc w:val="left"/>
            </w:pPr>
            <w:r>
              <w:t xml:space="preserve">Sub Station #33</w:t>
            </w:r>
          </w:p>
        </w:tc>
        <w:tc>
          <w:tcPr/>
          <w:p>
            <w:pPr>
              <w:pStyle w:val="Compact"/>
              <w:jc w:val="right"/>
            </w:pPr>
            <w:r>
              <w:t xml:space="preserve">13,440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13,440</w:t>
            </w:r>
          </w:p>
        </w:tc>
        <w:tc>
          <w:tcPr/>
          <w:p>
            <w:pPr>
              <w:pStyle w:val="Compact"/>
              <w:jc w:val="right"/>
            </w:pPr>
            <w:r>
              <w:t xml:space="preserve">1.54</w:t>
            </w:r>
          </w:p>
        </w:tc>
      </w:tr>
      <w:tr>
        <w:tc>
          <w:tcPr/>
          <w:p>
            <w:pPr>
              <w:pStyle w:val="Compact"/>
              <w:jc w:val="left"/>
            </w:pPr>
            <w:r>
              <w:t xml:space="preserve">Barracks - C</w:t>
            </w:r>
          </w:p>
        </w:tc>
        <w:tc>
          <w:tcPr/>
          <w:p>
            <w:pPr>
              <w:pStyle w:val="Compact"/>
              <w:jc w:val="right"/>
            </w:pPr>
            <w:r>
              <w:t xml:space="preserve">12,120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12,120</w:t>
            </w:r>
          </w:p>
        </w:tc>
        <w:tc>
          <w:tcPr/>
          <w:p>
            <w:pPr>
              <w:pStyle w:val="Compact"/>
              <w:jc w:val="right"/>
            </w:pPr>
            <w:r>
              <w:t xml:space="preserve">1.39</w:t>
            </w:r>
          </w:p>
        </w:tc>
      </w:tr>
      <w:tr>
        <w:tc>
          <w:tcPr/>
          <w:p>
            <w:pPr>
              <w:pStyle w:val="Compact"/>
              <w:jc w:val="left"/>
            </w:pPr>
            <w:r>
              <w:t xml:space="preserve">Pipe Manufacture Shop A&amp;B</w:t>
            </w:r>
          </w:p>
        </w:tc>
        <w:tc>
          <w:tcPr/>
          <w:p>
            <w:pPr>
              <w:pStyle w:val="Compact"/>
              <w:jc w:val="right"/>
            </w:pPr>
            <w:r>
              <w:t xml:space="preserve">11,900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11,900</w:t>
            </w:r>
          </w:p>
        </w:tc>
        <w:tc>
          <w:tcPr/>
          <w:p>
            <w:pPr>
              <w:pStyle w:val="Compact"/>
              <w:jc w:val="right"/>
            </w:pPr>
            <w:r>
              <w:t xml:space="preserve">1.36</w:t>
            </w:r>
          </w:p>
        </w:tc>
      </w:tr>
      <w:tr>
        <w:tc>
          <w:tcPr/>
          <w:p>
            <w:pPr>
              <w:pStyle w:val="Compact"/>
              <w:jc w:val="left"/>
            </w:pPr>
            <w:r>
              <w:t xml:space="preserve">Barracks - J</w:t>
            </w:r>
          </w:p>
        </w:tc>
        <w:tc>
          <w:tcPr/>
          <w:p>
            <w:pPr>
              <w:pStyle w:val="Compact"/>
              <w:jc w:val="right"/>
            </w:pPr>
            <w:r>
              <w:t xml:space="preserve">10,300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10,300</w:t>
            </w:r>
          </w:p>
        </w:tc>
        <w:tc>
          <w:tcPr/>
          <w:p>
            <w:pPr>
              <w:pStyle w:val="Compact"/>
              <w:jc w:val="right"/>
            </w:pPr>
            <w:r>
              <w:t xml:space="preserve">1.18</w:t>
            </w:r>
          </w:p>
        </w:tc>
      </w:tr>
      <w:tr>
        <w:tc>
          <w:tcPr/>
          <w:p>
            <w:pPr>
              <w:pStyle w:val="Compact"/>
              <w:jc w:val="left"/>
            </w:pPr>
            <w:r>
              <w:t xml:space="preserve">Barracks - Romanian</w:t>
            </w:r>
          </w:p>
        </w:tc>
        <w:tc>
          <w:tcPr/>
          <w:p>
            <w:pPr>
              <w:pStyle w:val="Compact"/>
              <w:jc w:val="right"/>
            </w:pPr>
            <w:r>
              <w:t xml:space="preserve">10,300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10,300</w:t>
            </w:r>
          </w:p>
        </w:tc>
        <w:tc>
          <w:tcPr/>
          <w:p>
            <w:pPr>
              <w:pStyle w:val="Compact"/>
              <w:jc w:val="right"/>
            </w:pPr>
            <w:r>
              <w:t xml:space="preserve">1.18</w:t>
            </w:r>
          </w:p>
        </w:tc>
      </w:tr>
      <w:tr>
        <w:tc>
          <w:tcPr/>
          <w:p>
            <w:pPr>
              <w:pStyle w:val="Compact"/>
              <w:jc w:val="left"/>
            </w:pPr>
            <w:r>
              <w:t xml:space="preserve">Barracks - D</w:t>
            </w:r>
          </w:p>
        </w:tc>
        <w:tc>
          <w:tcPr/>
          <w:p>
            <w:pPr>
              <w:pStyle w:val="Compact"/>
              <w:jc w:val="right"/>
            </w:pPr>
            <w:r>
              <w:t xml:space="preserve">9,120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9,120</w:t>
            </w:r>
          </w:p>
        </w:tc>
        <w:tc>
          <w:tcPr/>
          <w:p>
            <w:pPr>
              <w:pStyle w:val="Compact"/>
              <w:jc w:val="right"/>
            </w:pPr>
            <w:r>
              <w:t xml:space="preserve">1.04</w:t>
            </w:r>
          </w:p>
        </w:tc>
      </w:tr>
      <w:tr>
        <w:tc>
          <w:tcPr/>
          <w:p>
            <w:pPr>
              <w:pStyle w:val="Compact"/>
              <w:jc w:val="left"/>
            </w:pPr>
            <w:r>
              <w:t xml:space="preserve">Field Office 5</w:t>
            </w:r>
          </w:p>
        </w:tc>
        <w:tc>
          <w:tcPr/>
          <w:p>
            <w:pPr>
              <w:pStyle w:val="Compact"/>
              <w:jc w:val="right"/>
            </w:pPr>
            <w:r>
              <w:t xml:space="preserve">7,920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7,920</w:t>
            </w:r>
          </w:p>
        </w:tc>
        <w:tc>
          <w:tcPr/>
          <w:p>
            <w:pPr>
              <w:pStyle w:val="Compact"/>
              <w:jc w:val="right"/>
            </w:pPr>
            <w:r>
              <w:t xml:space="preserve">0.91</w:t>
            </w:r>
          </w:p>
        </w:tc>
      </w:tr>
      <w:tr>
        <w:tc>
          <w:tcPr/>
          <w:p>
            <w:pPr>
              <w:pStyle w:val="Compact"/>
              <w:jc w:val="left"/>
            </w:pPr>
            <w:r>
              <w:t xml:space="preserve">Barracks - G1</w:t>
            </w:r>
          </w:p>
        </w:tc>
        <w:tc>
          <w:tcPr/>
          <w:p>
            <w:pPr>
              <w:pStyle w:val="Compact"/>
              <w:jc w:val="right"/>
            </w:pPr>
            <w:r>
              <w:t xml:space="preserve">7,790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7,790</w:t>
            </w:r>
          </w:p>
        </w:tc>
        <w:tc>
          <w:tcPr/>
          <w:p>
            <w:pPr>
              <w:pStyle w:val="Compact"/>
              <w:jc w:val="right"/>
            </w:pPr>
            <w:r>
              <w:t xml:space="preserve">0.89</w:t>
            </w:r>
          </w:p>
        </w:tc>
      </w:tr>
      <w:tr>
        <w:tc>
          <w:tcPr/>
          <w:p>
            <w:pPr>
              <w:pStyle w:val="Compact"/>
              <w:jc w:val="left"/>
            </w:pPr>
            <w:r>
              <w:t xml:space="preserve">Barracks - Admin</w:t>
            </w:r>
          </w:p>
        </w:tc>
        <w:tc>
          <w:tcPr/>
          <w:p>
            <w:pPr>
              <w:pStyle w:val="Compact"/>
              <w:jc w:val="right"/>
            </w:pPr>
            <w:r>
              <w:t xml:space="preserve">7,470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7,470</w:t>
            </w:r>
          </w:p>
        </w:tc>
        <w:tc>
          <w:tcPr/>
          <w:p>
            <w:pPr>
              <w:pStyle w:val="Compact"/>
              <w:jc w:val="right"/>
            </w:pPr>
            <w:r>
              <w:t xml:space="preserve">0.85</w:t>
            </w:r>
          </w:p>
        </w:tc>
      </w:tr>
      <w:tr>
        <w:tc>
          <w:tcPr/>
          <w:p>
            <w:pPr>
              <w:pStyle w:val="Compact"/>
              <w:jc w:val="left"/>
            </w:pPr>
            <w:r>
              <w:t xml:space="preserve">Barracks - G2</w:t>
            </w:r>
          </w:p>
        </w:tc>
        <w:tc>
          <w:tcPr/>
          <w:p>
            <w:pPr>
              <w:pStyle w:val="Compact"/>
              <w:jc w:val="right"/>
            </w:pPr>
            <w:r>
              <w:t xml:space="preserve">7,000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7,000</w:t>
            </w:r>
          </w:p>
        </w:tc>
        <w:tc>
          <w:tcPr/>
          <w:p>
            <w:pPr>
              <w:pStyle w:val="Compact"/>
              <w:jc w:val="right"/>
            </w:pPr>
            <w:r>
              <w:t xml:space="preserve">0.80</w:t>
            </w:r>
          </w:p>
        </w:tc>
      </w:tr>
      <w:tr>
        <w:tc>
          <w:tcPr/>
          <w:p>
            <w:pPr>
              <w:pStyle w:val="Compact"/>
              <w:jc w:val="left"/>
            </w:pPr>
            <w:r>
              <w:t xml:space="preserve">Assembly Shop (D)</w:t>
            </w:r>
          </w:p>
        </w:tc>
        <w:tc>
          <w:tcPr/>
          <w:p>
            <w:pPr>
              <w:pStyle w:val="Compact"/>
              <w:jc w:val="right"/>
            </w:pPr>
            <w:r>
              <w:t xml:space="preserve">6,260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6,260</w:t>
            </w:r>
          </w:p>
        </w:tc>
        <w:tc>
          <w:tcPr/>
          <w:p>
            <w:pPr>
              <w:pStyle w:val="Compact"/>
              <w:jc w:val="right"/>
            </w:pPr>
            <w:r>
              <w:t xml:space="preserve">0.72</w:t>
            </w:r>
          </w:p>
        </w:tc>
      </w:tr>
      <w:tr>
        <w:tc>
          <w:tcPr/>
          <w:p>
            <w:pPr>
              <w:pStyle w:val="Compact"/>
              <w:jc w:val="left"/>
            </w:pPr>
            <w:r>
              <w:t xml:space="preserve">Field Office 13</w:t>
            </w:r>
          </w:p>
        </w:tc>
        <w:tc>
          <w:tcPr/>
          <w:p>
            <w:pPr>
              <w:pStyle w:val="Compact"/>
              <w:jc w:val="right"/>
            </w:pPr>
            <w:r>
              <w:t xml:space="preserve">6,060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6,060</w:t>
            </w:r>
          </w:p>
        </w:tc>
        <w:tc>
          <w:tcPr/>
          <w:p>
            <w:pPr>
              <w:pStyle w:val="Compact"/>
              <w:jc w:val="right"/>
            </w:pPr>
            <w:r>
              <w:t xml:space="preserve">0.69</w:t>
            </w:r>
          </w:p>
        </w:tc>
      </w:tr>
      <w:tr>
        <w:tc>
          <w:tcPr/>
          <w:p>
            <w:pPr>
              <w:pStyle w:val="Compact"/>
              <w:jc w:val="left"/>
            </w:pPr>
            <w:r>
              <w:t xml:space="preserve">Barracks - B</w:t>
            </w:r>
          </w:p>
        </w:tc>
        <w:tc>
          <w:tcPr/>
          <w:p>
            <w:pPr>
              <w:pStyle w:val="Compact"/>
              <w:jc w:val="right"/>
            </w:pPr>
            <w:r>
              <w:t xml:space="preserve">5,710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5,710</w:t>
            </w:r>
          </w:p>
        </w:tc>
        <w:tc>
          <w:tcPr/>
          <w:p>
            <w:pPr>
              <w:pStyle w:val="Compact"/>
              <w:jc w:val="right"/>
            </w:pPr>
            <w:r>
              <w:t xml:space="preserve">0.65</w:t>
            </w:r>
          </w:p>
        </w:tc>
      </w:tr>
      <w:tr>
        <w:tc>
          <w:tcPr/>
          <w:p>
            <w:pPr>
              <w:pStyle w:val="Compact"/>
              <w:jc w:val="left"/>
            </w:pPr>
            <w:r>
              <w:t xml:space="preserve">Sub Station #35</w:t>
            </w:r>
          </w:p>
        </w:tc>
        <w:tc>
          <w:tcPr/>
          <w:p>
            <w:pPr>
              <w:pStyle w:val="Compact"/>
              <w:jc w:val="right"/>
            </w:pPr>
            <w:r>
              <w:t xml:space="preserve">5,100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5,100</w:t>
            </w:r>
          </w:p>
        </w:tc>
        <w:tc>
          <w:tcPr/>
          <w:p>
            <w:pPr>
              <w:pStyle w:val="Compact"/>
              <w:jc w:val="right"/>
            </w:pPr>
            <w:r>
              <w:t xml:space="preserve">0.58</w:t>
            </w:r>
          </w:p>
        </w:tc>
      </w:tr>
      <w:tr>
        <w:tc>
          <w:tcPr/>
          <w:p>
            <w:pPr>
              <w:pStyle w:val="Compact"/>
              <w:jc w:val="left"/>
            </w:pPr>
            <w:r>
              <w:t xml:space="preserve">Blasting &amp; Painting Shop E</w:t>
            </w:r>
          </w:p>
        </w:tc>
        <w:tc>
          <w:tcPr/>
          <w:p>
            <w:pPr>
              <w:pStyle w:val="Compact"/>
              <w:jc w:val="right"/>
            </w:pPr>
            <w:r>
              <w:t xml:space="preserve">4,780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4,780</w:t>
            </w:r>
          </w:p>
        </w:tc>
        <w:tc>
          <w:tcPr/>
          <w:p>
            <w:pPr>
              <w:pStyle w:val="Compact"/>
              <w:jc w:val="right"/>
            </w:pPr>
            <w:r>
              <w:t xml:space="preserve">0.55</w:t>
            </w:r>
          </w:p>
        </w:tc>
      </w:tr>
      <w:tr>
        <w:tc>
          <w:tcPr/>
          <w:p>
            <w:pPr>
              <w:pStyle w:val="Compact"/>
              <w:jc w:val="left"/>
            </w:pPr>
            <w:r>
              <w:t xml:space="preserve">Spill Prevention</w:t>
            </w:r>
            <w:r>
              <w:t xml:space="preserve"> </w:t>
            </w:r>
            <w:r>
              <w:t xml:space="preserve">Kits/Secondary Containment</w:t>
            </w:r>
            <w:r>
              <w:t xml:space="preserve"> </w:t>
            </w:r>
            <w:r>
              <w:t xml:space="preserve">Navy</w:t>
            </w:r>
          </w:p>
        </w:tc>
        <w:tc>
          <w:tcPr/>
          <w:p>
            <w:pPr>
              <w:pStyle w:val="Compact"/>
              <w:jc w:val="right"/>
            </w:pPr>
            <w:r>
              <w:t xml:space="preserve">3,260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3,260</w:t>
            </w:r>
          </w:p>
        </w:tc>
        <w:tc>
          <w:tcPr/>
          <w:p>
            <w:pPr>
              <w:pStyle w:val="Compact"/>
              <w:jc w:val="right"/>
            </w:pPr>
            <w:r>
              <w:t xml:space="preserve">0.37</w:t>
            </w:r>
          </w:p>
        </w:tc>
      </w:tr>
      <w:tr>
        <w:tc>
          <w:tcPr/>
          <w:p>
            <w:pPr>
              <w:pStyle w:val="Compact"/>
              <w:jc w:val="left"/>
            </w:pPr>
            <w:r>
              <w:t xml:space="preserve">Painting Shop A -1</w:t>
            </w:r>
          </w:p>
        </w:tc>
        <w:tc>
          <w:tcPr/>
          <w:p>
            <w:pPr>
              <w:pStyle w:val="Compact"/>
              <w:jc w:val="right"/>
            </w:pPr>
            <w:r>
              <w:t xml:space="preserve">2,140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2,140</w:t>
            </w:r>
          </w:p>
        </w:tc>
        <w:tc>
          <w:tcPr/>
          <w:p>
            <w:pPr>
              <w:pStyle w:val="Compact"/>
              <w:jc w:val="right"/>
            </w:pPr>
            <w:r>
              <w:t xml:space="preserve">0.24</w:t>
            </w:r>
          </w:p>
        </w:tc>
      </w:tr>
      <w:tr>
        <w:tc>
          <w:tcPr/>
          <w:p>
            <w:pPr>
              <w:pStyle w:val="Compact"/>
              <w:jc w:val="left"/>
            </w:pPr>
            <w:r>
              <w:t xml:space="preserve">Shelter for Piping</w:t>
            </w:r>
          </w:p>
        </w:tc>
        <w:tc>
          <w:tcPr/>
          <w:p>
            <w:pPr>
              <w:pStyle w:val="Compact"/>
              <w:jc w:val="right"/>
            </w:pPr>
            <w:r>
              <w:t xml:space="preserve">1,640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1,640</w:t>
            </w:r>
          </w:p>
        </w:tc>
        <w:tc>
          <w:tcPr/>
          <w:p>
            <w:pPr>
              <w:pStyle w:val="Compact"/>
              <w:jc w:val="right"/>
            </w:pPr>
            <w:r>
              <w:t xml:space="preserve">0.19</w:t>
            </w:r>
          </w:p>
        </w:tc>
      </w:tr>
      <w:tr>
        <w:tc>
          <w:tcPr/>
          <w:p>
            <w:pPr>
              <w:pStyle w:val="Compact"/>
              <w:jc w:val="left"/>
            </w:pPr>
            <w:r>
              <w:t xml:space="preserve">Field Office 14</w:t>
            </w:r>
          </w:p>
        </w:tc>
        <w:tc>
          <w:tcPr/>
          <w:p>
            <w:pPr>
              <w:pStyle w:val="Compact"/>
              <w:jc w:val="right"/>
            </w:pPr>
            <w:r>
              <w:t xml:space="preserve">1,610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1,610</w:t>
            </w:r>
          </w:p>
        </w:tc>
        <w:tc>
          <w:tcPr/>
          <w:p>
            <w:pPr>
              <w:pStyle w:val="Compact"/>
              <w:jc w:val="right"/>
            </w:pPr>
            <w:r>
              <w:t xml:space="preserve">0.18</w:t>
            </w:r>
          </w:p>
        </w:tc>
      </w:tr>
      <w:tr>
        <w:tc>
          <w:tcPr/>
          <w:p>
            <w:pPr>
              <w:pStyle w:val="Compact"/>
              <w:jc w:val="left"/>
            </w:pPr>
            <w:r>
              <w:t xml:space="preserve">Piping Shelter</w:t>
            </w:r>
          </w:p>
        </w:tc>
        <w:tc>
          <w:tcPr/>
          <w:p>
            <w:pPr>
              <w:pStyle w:val="Compact"/>
              <w:jc w:val="right"/>
            </w:pPr>
            <w:r>
              <w:t xml:space="preserve">1,570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1,570</w:t>
            </w:r>
          </w:p>
        </w:tc>
        <w:tc>
          <w:tcPr/>
          <w:p>
            <w:pPr>
              <w:pStyle w:val="Compact"/>
              <w:jc w:val="right"/>
            </w:pPr>
            <w:r>
              <w:t xml:space="preserve">0.18</w:t>
            </w:r>
          </w:p>
        </w:tc>
      </w:tr>
      <w:tr>
        <w:tc>
          <w:tcPr/>
          <w:p>
            <w:pPr>
              <w:pStyle w:val="Compact"/>
              <w:jc w:val="left"/>
            </w:pPr>
            <w:r>
              <w:t xml:space="preserve">Main Generator Room</w:t>
            </w:r>
          </w:p>
        </w:tc>
        <w:tc>
          <w:tcPr/>
          <w:p>
            <w:pPr>
              <w:pStyle w:val="Compact"/>
              <w:jc w:val="right"/>
            </w:pPr>
            <w:r>
              <w:t xml:space="preserve">1,480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1,480</w:t>
            </w:r>
          </w:p>
        </w:tc>
        <w:tc>
          <w:tcPr/>
          <w:p>
            <w:pPr>
              <w:pStyle w:val="Compact"/>
              <w:jc w:val="right"/>
            </w:pPr>
            <w:r>
              <w:t xml:space="preserve">0.17</w:t>
            </w:r>
          </w:p>
        </w:tc>
      </w:tr>
      <w:tr>
        <w:tc>
          <w:tcPr/>
          <w:p>
            <w:pPr>
              <w:pStyle w:val="Compact"/>
              <w:jc w:val="left"/>
            </w:pPr>
            <w:r>
              <w:t xml:space="preserve">Barracks - Accommodation</w:t>
            </w:r>
          </w:p>
        </w:tc>
        <w:tc>
          <w:tcPr/>
          <w:p>
            <w:pPr>
              <w:pStyle w:val="Compact"/>
              <w:jc w:val="right"/>
            </w:pPr>
            <w:r>
              <w:t xml:space="preserve">340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340</w:t>
            </w:r>
          </w:p>
        </w:tc>
        <w:tc>
          <w:tcPr/>
          <w:p>
            <w:pPr>
              <w:pStyle w:val="Compact"/>
              <w:jc w:val="right"/>
            </w:pPr>
            <w:r>
              <w:t xml:space="preserve">0.04</w:t>
            </w:r>
          </w:p>
        </w:tc>
      </w:tr>
      <w:tr>
        <w:tc>
          <w:tcPr/>
          <w:p>
            <w:pPr>
              <w:pStyle w:val="Compact"/>
              <w:jc w:val="left"/>
            </w:pPr>
            <w:r>
              <w:t xml:space="preserve">Total</w:t>
            </w:r>
          </w:p>
        </w:tc>
        <w:tc>
          <w:tcPr/>
          <w:p>
            <w:pPr>
              <w:pStyle w:val="Compact"/>
              <w:jc w:val="right"/>
            </w:pPr>
            <w:r>
              <w:t xml:space="preserve">736,090</w:t>
            </w:r>
          </w:p>
        </w:tc>
        <w:tc>
          <w:tcPr/>
          <w:p>
            <w:pPr>
              <w:pStyle w:val="Compact"/>
              <w:jc w:val="right"/>
            </w:pPr>
            <w:r>
              <w:t xml:space="preserve">138,950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875,040</w:t>
            </w:r>
          </w:p>
        </w:tc>
        <w:tc>
          <w:tcPr/>
          <w:p>
            <w:pPr>
              <w:pStyle w:val="Compact"/>
              <w:jc w:val="right"/>
            </w:pPr>
            <w:r>
              <w:t xml:space="preserve">100.00</w:t>
            </w:r>
          </w:p>
        </w:tc>
      </w:tr>
    </w:tbl>
    <w:bookmarkEnd w:id="74"/>
    <w:bookmarkStart w:id="76" w:name="dock-6-1"/>
    <w:p>
      <w:pPr>
        <w:pStyle w:val="Heading2"/>
      </w:pPr>
      <w:r>
        <w:t xml:space="preserve">Dock 6</w:t>
      </w:r>
    </w:p>
    <w:p>
      <w:pPr>
        <w:pStyle w:val="FirstParagraph"/>
      </w:pPr>
      <w:r>
        <w:t xml:space="preserve">The distribution of CAPEX under Dock 6 is presented in the Table</w:t>
      </w:r>
      <w:r>
        <w:t xml:space="preserve"> </w:t>
      </w:r>
      <w:r>
        <w:t xml:space="preserve">18</w:t>
      </w:r>
      <w:r>
        <w:t xml:space="preserve">.</w:t>
      </w:r>
    </w:p>
    <w:p>
      <w:pPr>
        <w:pStyle w:val="TableCaption"/>
      </w:pPr>
      <w:r>
        <w:t xml:space="preserve">Table 18: Dock 6 CAPEX Distribution</w:t>
      </w:r>
    </w:p>
    <w:tbl>
      <w:tblPr>
        <w:tblStyle w:val="Table"/>
        <w:tblW w:type="pct" w:w="5000"/>
        <w:tblLook w:firstRow="1" w:lastRow="0" w:firstColumn="0" w:lastColumn="0" w:noHBand="0" w:noVBand="0" w:val="0020"/>
        <w:tblCaption w:val="Table 18: Dock 6 CAPEX Distribution"/>
      </w:tblPr>
      <w:tblGrid>
        <w:gridCol w:w="1601"/>
        <w:gridCol w:w="1067"/>
        <w:gridCol w:w="1067"/>
        <w:gridCol w:w="1156"/>
        <w:gridCol w:w="1067"/>
        <w:gridCol w:w="1156"/>
        <w:gridCol w:w="800"/>
      </w:tblGrid>
      <w:tr>
        <w:trPr>
          <w:tblHeader w:val="true"/>
        </w:trPr>
        <w:tc>
          <w:tcPr/>
          <w:p>
            <w:pPr>
              <w:pStyle w:val="Compact"/>
              <w:jc w:val="left"/>
            </w:pPr>
            <w:r>
              <w:t xml:space="preserve">Disciplines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Structural</w:t>
            </w:r>
          </w:p>
        </w:tc>
        <w:tc>
          <w:tcPr/>
          <w:p>
            <w:pPr>
              <w:pStyle w:val="Compact"/>
              <w:jc w:val="right"/>
            </w:pPr>
            <w:r>
              <w:t xml:space="preserve">3,906,950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3,906,950</w:t>
            </w:r>
          </w:p>
        </w:tc>
        <w:tc>
          <w:tcPr/>
          <w:p>
            <w:pPr>
              <w:pStyle w:val="Compact"/>
              <w:jc w:val="right"/>
            </w:pPr>
            <w:r>
              <w:t xml:space="preserve">32.31</w:t>
            </w:r>
          </w:p>
        </w:tc>
      </w:tr>
      <w:tr>
        <w:tc>
          <w:tcPr/>
          <w:p>
            <w:pPr>
              <w:pStyle w:val="Compact"/>
              <w:jc w:val="left"/>
            </w:pPr>
            <w:r>
              <w:t xml:space="preserve">Mechanical</w:t>
            </w:r>
          </w:p>
        </w:tc>
        <w:tc>
          <w:tcPr/>
          <w:p>
            <w:pPr>
              <w:pStyle w:val="Compact"/>
              <w:jc w:val="right"/>
            </w:pPr>
            <w:r>
              <w:t xml:space="preserve">151,630</w:t>
            </w:r>
          </w:p>
        </w:tc>
        <w:tc>
          <w:tcPr/>
          <w:p>
            <w:pPr>
              <w:pStyle w:val="Compact"/>
              <w:jc w:val="right"/>
            </w:pPr>
            <w:r>
              <w:t xml:space="preserve">0</w:t>
            </w:r>
          </w:p>
        </w:tc>
        <w:tc>
          <w:tcPr/>
          <w:p>
            <w:pPr>
              <w:pStyle w:val="Compact"/>
              <w:jc w:val="right"/>
            </w:pPr>
            <w:r>
              <w:t xml:space="preserve">806,470</w:t>
            </w:r>
          </w:p>
        </w:tc>
        <w:tc>
          <w:tcPr/>
          <w:p>
            <w:pPr>
              <w:pStyle w:val="Compact"/>
              <w:jc w:val="right"/>
            </w:pPr>
            <w:r>
              <w:t xml:space="preserve">1,607,440</w:t>
            </w:r>
          </w:p>
        </w:tc>
        <w:tc>
          <w:tcPr/>
          <w:p>
            <w:pPr>
              <w:pStyle w:val="Compact"/>
              <w:jc w:val="right"/>
            </w:pPr>
            <w:r>
              <w:t xml:space="preserve">2,565,540</w:t>
            </w:r>
          </w:p>
        </w:tc>
        <w:tc>
          <w:tcPr/>
          <w:p>
            <w:pPr>
              <w:pStyle w:val="Compact"/>
              <w:jc w:val="right"/>
            </w:pPr>
            <w:r>
              <w:t xml:space="preserve">21.22</w:t>
            </w:r>
          </w:p>
        </w:tc>
      </w:tr>
      <w:tr>
        <w:tc>
          <w:tcPr/>
          <w:p>
            <w:pPr>
              <w:pStyle w:val="Compact"/>
              <w:jc w:val="left"/>
            </w:pPr>
            <w:r>
              <w:t xml:space="preserve">Soft Cost</w:t>
            </w:r>
          </w:p>
        </w:tc>
        <w:tc>
          <w:tcPr/>
          <w:p>
            <w:pPr>
              <w:pStyle w:val="Compact"/>
              <w:jc w:val="right"/>
            </w:pPr>
            <w:r>
              <w:t xml:space="preserve">1,860,990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1,860,990</w:t>
            </w:r>
          </w:p>
        </w:tc>
        <w:tc>
          <w:tcPr/>
          <w:p>
            <w:pPr>
              <w:pStyle w:val="Compact"/>
              <w:jc w:val="right"/>
            </w:pPr>
            <w:r>
              <w:t xml:space="preserve">15.39</w:t>
            </w:r>
          </w:p>
        </w:tc>
      </w:tr>
      <w:tr>
        <w:tc>
          <w:tcPr/>
          <w:p>
            <w:pPr>
              <w:pStyle w:val="Compact"/>
              <w:jc w:val="left"/>
            </w:pPr>
            <w:r>
              <w:t xml:space="preserve">Roof</w:t>
            </w:r>
          </w:p>
        </w:tc>
        <w:tc>
          <w:tcPr/>
          <w:p>
            <w:pPr>
              <w:pStyle w:val="Compact"/>
              <w:jc w:val="right"/>
            </w:pPr>
            <w:r>
              <w:t xml:space="preserve">84,620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1,488,210</w:t>
            </w:r>
          </w:p>
        </w:tc>
        <w:tc>
          <w:tcPr/>
          <w:p>
            <w:pPr>
              <w:pStyle w:val="Compact"/>
              <w:jc w:val="right"/>
            </w:pPr>
            <w:r>
              <w:t xml:space="preserve">1,572,830</w:t>
            </w:r>
          </w:p>
        </w:tc>
        <w:tc>
          <w:tcPr/>
          <w:p>
            <w:pPr>
              <w:pStyle w:val="Compact"/>
              <w:jc w:val="right"/>
            </w:pPr>
            <w:r>
              <w:t xml:space="preserve">13.01</w:t>
            </w:r>
          </w:p>
        </w:tc>
      </w:tr>
      <w:tr>
        <w:tc>
          <w:tcPr/>
          <w:p>
            <w:pPr>
              <w:pStyle w:val="Compact"/>
              <w:jc w:val="left"/>
            </w:pPr>
            <w:r>
              <w:t xml:space="preserve">Miscellaneous</w:t>
            </w:r>
          </w:p>
        </w:tc>
        <w:tc>
          <w:tcPr/>
          <w:p>
            <w:pPr>
              <w:pStyle w:val="Compact"/>
              <w:jc w:val="right"/>
            </w:pPr>
            <w:r>
              <w:t xml:space="preserve">963,990</w:t>
            </w:r>
          </w:p>
        </w:tc>
        <w:tc>
          <w:tcPr/>
          <w:p>
            <w:pPr>
              <w:pStyle w:val="Compact"/>
              <w:jc w:val="right"/>
            </w:pPr>
            <w:r>
              <w:t xml:space="preserve">39,480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1,003,470</w:t>
            </w:r>
          </w:p>
        </w:tc>
        <w:tc>
          <w:tcPr/>
          <w:p>
            <w:pPr>
              <w:pStyle w:val="Compact"/>
              <w:jc w:val="right"/>
            </w:pPr>
            <w:r>
              <w:t xml:space="preserve">8.30</w:t>
            </w:r>
          </w:p>
        </w:tc>
      </w:tr>
      <w:tr>
        <w:tc>
          <w:tcPr/>
          <w:p>
            <w:pPr>
              <w:pStyle w:val="Compact"/>
              <w:jc w:val="left"/>
            </w:pPr>
            <w:r>
              <w:t xml:space="preserve">Electrical</w:t>
            </w:r>
          </w:p>
        </w:tc>
        <w:tc>
          <w:tcPr/>
          <w:p>
            <w:pPr>
              <w:pStyle w:val="Compact"/>
              <w:jc w:val="right"/>
            </w:pPr>
            <w:r>
              <w:t xml:space="preserve">453,150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53,270</w:t>
            </w:r>
          </w:p>
        </w:tc>
        <w:tc>
          <w:tcPr/>
          <w:p>
            <w:pPr>
              <w:pStyle w:val="Compact"/>
              <w:jc w:val="right"/>
            </w:pPr>
            <w:r>
              <w:t xml:space="preserve">506,420</w:t>
            </w:r>
          </w:p>
        </w:tc>
        <w:tc>
          <w:tcPr/>
          <w:p>
            <w:pPr>
              <w:pStyle w:val="Compact"/>
              <w:jc w:val="right"/>
            </w:pPr>
            <w:r>
              <w:t xml:space="preserve">4.19</w:t>
            </w:r>
          </w:p>
        </w:tc>
      </w:tr>
      <w:tr>
        <w:tc>
          <w:tcPr/>
          <w:p>
            <w:pPr>
              <w:pStyle w:val="Compact"/>
              <w:jc w:val="left"/>
            </w:pPr>
            <w:r>
              <w:t xml:space="preserve">Architectural</w:t>
            </w:r>
          </w:p>
        </w:tc>
        <w:tc>
          <w:tcPr/>
          <w:p>
            <w:pPr>
              <w:pStyle w:val="Compact"/>
              <w:jc w:val="right"/>
            </w:pPr>
            <w:r>
              <w:t xml:space="preserve">147,040</w:t>
            </w:r>
          </w:p>
        </w:tc>
        <w:tc>
          <w:tcPr/>
          <w:p>
            <w:pPr>
              <w:pStyle w:val="Compact"/>
              <w:jc w:val="right"/>
            </w:pPr>
            <w:r>
              <w:t xml:space="preserve">69,070</w:t>
            </w:r>
          </w:p>
        </w:tc>
        <w:tc>
          <w:tcPr/>
          <w:p>
            <w:pPr>
              <w:pStyle w:val="Compact"/>
              <w:jc w:val="right"/>
            </w:pPr>
            <w:r>
              <w:t xml:space="preserve">70,160</w:t>
            </w:r>
          </w:p>
        </w:tc>
        <w:tc>
          <w:tcPr/>
          <w:p>
            <w:pPr>
              <w:pStyle w:val="Compact"/>
              <w:jc w:val="right"/>
            </w:pPr>
            <w:r>
              <w:t xml:space="preserve">139,230</w:t>
            </w:r>
          </w:p>
        </w:tc>
        <w:tc>
          <w:tcPr/>
          <w:p>
            <w:pPr>
              <w:pStyle w:val="Compact"/>
              <w:jc w:val="right"/>
            </w:pPr>
            <w:r>
              <w:t xml:space="preserve">425,500</w:t>
            </w:r>
          </w:p>
        </w:tc>
        <w:tc>
          <w:tcPr/>
          <w:p>
            <w:pPr>
              <w:pStyle w:val="Compact"/>
              <w:jc w:val="right"/>
            </w:pPr>
            <w:r>
              <w:t xml:space="preserve">3.52</w:t>
            </w:r>
          </w:p>
        </w:tc>
      </w:tr>
      <w:tr>
        <w:tc>
          <w:tcPr/>
          <w:p>
            <w:pPr>
              <w:pStyle w:val="Compact"/>
              <w:jc w:val="left"/>
            </w:pPr>
            <w:r>
              <w:t xml:space="preserve">Fire Protection</w:t>
            </w:r>
          </w:p>
        </w:tc>
        <w:tc>
          <w:tcPr/>
          <w:p>
            <w:pPr>
              <w:pStyle w:val="Compact"/>
              <w:jc w:val="right"/>
            </w:pPr>
            <w:r>
              <w:t xml:space="preserve">210,330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210,330</w:t>
            </w:r>
          </w:p>
        </w:tc>
        <w:tc>
          <w:tcPr/>
          <w:p>
            <w:pPr>
              <w:pStyle w:val="Compact"/>
              <w:jc w:val="right"/>
            </w:pPr>
            <w:r>
              <w:t xml:space="preserve">1.74</w:t>
            </w:r>
          </w:p>
        </w:tc>
      </w:tr>
      <w:tr>
        <w:tc>
          <w:tcPr/>
          <w:p>
            <w:pPr>
              <w:pStyle w:val="Compact"/>
              <w:jc w:val="left"/>
            </w:pPr>
            <w:r>
              <w:t xml:space="preserve">Environmental</w:t>
            </w:r>
          </w:p>
        </w:tc>
        <w:tc>
          <w:tcPr/>
          <w:p>
            <w:pPr>
              <w:pStyle w:val="Compact"/>
              <w:jc w:val="right"/>
            </w:pPr>
            <w:r>
              <w:t xml:space="preserve">32,500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32,500</w:t>
            </w:r>
          </w:p>
        </w:tc>
        <w:tc>
          <w:tcPr/>
          <w:p>
            <w:pPr>
              <w:pStyle w:val="Compact"/>
              <w:jc w:val="right"/>
            </w:pPr>
            <w:r>
              <w:t xml:space="preserve">0.27</w:t>
            </w:r>
          </w:p>
        </w:tc>
      </w:tr>
      <w:tr>
        <w:tc>
          <w:tcPr/>
          <w:p>
            <w:pPr>
              <w:pStyle w:val="Compact"/>
              <w:jc w:val="left"/>
            </w:pPr>
            <w:r>
              <w:t xml:space="preserve">Plumbing</w:t>
            </w:r>
          </w:p>
        </w:tc>
        <w:tc>
          <w:tcPr/>
          <w:p>
            <w:pPr>
              <w:pStyle w:val="Compact"/>
              <w:jc w:val="right"/>
            </w:pPr>
            <w:r>
              <w:t xml:space="preserve">6,870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6,870</w:t>
            </w:r>
          </w:p>
        </w:tc>
        <w:tc>
          <w:tcPr/>
          <w:p>
            <w:pPr>
              <w:pStyle w:val="Compact"/>
              <w:jc w:val="right"/>
            </w:pPr>
            <w:r>
              <w:t xml:space="preserve">0.06</w:t>
            </w:r>
          </w:p>
        </w:tc>
      </w:tr>
      <w:tr>
        <w:tc>
          <w:tcPr/>
          <w:p>
            <w:pPr>
              <w:pStyle w:val="Compact"/>
              <w:jc w:val="left"/>
            </w:pPr>
            <w:r>
              <w:t xml:space="preserve">Total</w:t>
            </w:r>
          </w:p>
        </w:tc>
        <w:tc>
          <w:tcPr/>
          <w:p>
            <w:pPr>
              <w:pStyle w:val="Compact"/>
              <w:jc w:val="right"/>
            </w:pPr>
            <w:r>
              <w:t xml:space="preserve">7,818,070</w:t>
            </w:r>
          </w:p>
        </w:tc>
        <w:tc>
          <w:tcPr/>
          <w:p>
            <w:pPr>
              <w:pStyle w:val="Compact"/>
              <w:jc w:val="right"/>
            </w:pPr>
            <w:r>
              <w:t xml:space="preserve">108,550</w:t>
            </w:r>
          </w:p>
        </w:tc>
        <w:tc>
          <w:tcPr/>
          <w:p>
            <w:pPr>
              <w:pStyle w:val="Compact"/>
              <w:jc w:val="right"/>
            </w:pPr>
            <w:r>
              <w:t xml:space="preserve">876,630</w:t>
            </w:r>
          </w:p>
        </w:tc>
        <w:tc>
          <w:tcPr/>
          <w:p>
            <w:pPr>
              <w:pStyle w:val="Compact"/>
              <w:jc w:val="right"/>
            </w:pPr>
            <w:r>
              <w:t xml:space="preserve">3,288,150</w:t>
            </w:r>
          </w:p>
        </w:tc>
        <w:tc>
          <w:tcPr/>
          <w:p>
            <w:pPr>
              <w:pStyle w:val="Compact"/>
              <w:jc w:val="right"/>
            </w:pPr>
            <w:r>
              <w:t xml:space="preserve">12,091,400</w:t>
            </w:r>
          </w:p>
        </w:tc>
        <w:tc>
          <w:tcPr/>
          <w:p>
            <w:pPr>
              <w:pStyle w:val="Compact"/>
              <w:jc w:val="right"/>
            </w:pPr>
            <w:r>
              <w:t xml:space="preserve">100.00</w:t>
            </w:r>
          </w:p>
        </w:tc>
      </w:tr>
    </w:tbl>
    <w:p>
      <w:pPr>
        <w:pStyle w:val="BodyText"/>
      </w:pPr>
      <w:r>
        <w:t xml:space="preserve">Figure</w:t>
      </w:r>
      <w:r>
        <w:t xml:space="preserve"> </w:t>
      </w:r>
      <w:r>
        <w:t xml:space="preserve">17</w:t>
      </w:r>
      <w:r>
        <w:t xml:space="preserve"> </w:t>
      </w:r>
      <w:r>
        <w:t xml:space="preserve">presents the yearly CAPEX distribution for this tenant per disciplines.</w:t>
      </w:r>
    </w:p>
    <w:p>
      <w:pPr>
        <w:pStyle w:val="CaptionedFigure"/>
      </w:pPr>
      <w:r>
        <w:drawing>
          <wp:inline>
            <wp:extent cx="5943600" cy="3566160"/>
            <wp:effectExtent b="0" l="0" r="0" t="0"/>
            <wp:docPr descr="Figure 17: Yearly Distribution of CAPEX - Dock 6" title="" id="1" name="Picture"/>
            <a:graphic>
              <a:graphicData uri="http://schemas.openxmlformats.org/drawingml/2006/picture">
                <pic:pic>
                  <pic:nvPicPr>
                    <pic:cNvPr descr="../visuals/plot013.png" id="0" name="Picture"/>
                    <pic:cNvPicPr>
                      <a:picLocks noChangeArrowheads="1" noChangeAspect="1"/>
                    </pic:cNvPicPr>
                  </pic:nvPicPr>
                  <pic:blipFill>
                    <a:blip r:embed="rId75"/>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17: Yearly Distribution of CAPEX - Dock 6</w:t>
      </w:r>
    </w:p>
    <w:p>
      <w:pPr>
        <w:pStyle w:val="BodyText"/>
      </w:pPr>
      <w:r>
        <w:t xml:space="preserve">Table</w:t>
      </w:r>
      <w:r>
        <w:t xml:space="preserve"> </w:t>
      </w:r>
      <w:r>
        <w:t xml:space="preserve">19</w:t>
      </w:r>
      <w:r>
        <w:t xml:space="preserve"> </w:t>
      </w:r>
      <w:r>
        <w:t xml:space="preserve">presents a summary of CAPEX items subjected to structural upgrade</w:t>
      </w:r>
    </w:p>
    <w:p>
      <w:pPr>
        <w:pStyle w:val="TableCaption"/>
      </w:pPr>
      <w:r>
        <w:t xml:space="preserve">Table 19: Dock 6 CAPEX Distribution - Structure</w:t>
      </w:r>
    </w:p>
    <w:tbl>
      <w:tblPr>
        <w:tblStyle w:val="Table"/>
        <w:tblW w:type="pct" w:w="5000"/>
        <w:tblLook w:firstRow="1" w:lastRow="0" w:firstColumn="0" w:lastColumn="0" w:noHBand="0" w:noVBand="0" w:val="0020"/>
        <w:tblCaption w:val="Table 19: Dock 6 CAPEX Distribution - Structure"/>
      </w:tblPr>
      <w:tblGrid>
        <w:gridCol w:w="2772"/>
        <w:gridCol w:w="2970"/>
        <w:gridCol w:w="1386"/>
        <w:gridCol w:w="792"/>
      </w:tblGrid>
      <w:tr>
        <w:trPr>
          <w:tblHeader w:val="true"/>
        </w:trPr>
        <w:tc>
          <w:tcPr/>
          <w:p>
            <w:pPr>
              <w:pStyle w:val="Compact"/>
              <w:jc w:val="left"/>
            </w:pPr>
            <w:r>
              <w:t xml:space="preserve">CAPEXassets</w:t>
            </w:r>
          </w:p>
        </w:tc>
        <w:tc>
          <w:tcPr/>
          <w:p>
            <w:pPr>
              <w:pStyle w:val="Compact"/>
              <w:jc w:val="left"/>
            </w:pPr>
            <w:r>
              <w:t xml:space="preserve">Facilities</w:t>
            </w:r>
          </w:p>
        </w:tc>
        <w:tc>
          <w:tcPr/>
          <w:p>
            <w:pPr>
              <w:pStyle w:val="Compact"/>
              <w:jc w:val="right"/>
            </w:pPr>
            <w:r>
              <w:t xml:space="preserve">NPVCapexUSD</w:t>
            </w:r>
          </w:p>
        </w:tc>
        <w:tc>
          <w:tcPr/>
          <w:p>
            <w:pPr>
              <w:pStyle w:val="Compact"/>
              <w:jc w:val="right"/>
            </w:pPr>
            <w:r>
              <w:t xml:space="preserve">freq</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Panel Shop</w:t>
            </w:r>
          </w:p>
        </w:tc>
        <w:tc>
          <w:tcPr/>
          <w:p>
            <w:pPr>
              <w:pStyle w:val="Compact"/>
              <w:jc w:val="right"/>
            </w:pPr>
            <w:r>
              <w:t xml:space="preserve">1,078,100</w:t>
            </w:r>
          </w:p>
        </w:tc>
        <w:tc>
          <w:tcPr/>
          <w:p>
            <w:pPr>
              <w:pStyle w:val="Compact"/>
              <w:jc w:val="right"/>
            </w:pPr>
            <w:r>
              <w:t xml:space="preserve">27.59</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Hull Shop B</w:t>
            </w:r>
          </w:p>
        </w:tc>
        <w:tc>
          <w:tcPr/>
          <w:p>
            <w:pPr>
              <w:pStyle w:val="Compact"/>
              <w:jc w:val="right"/>
            </w:pPr>
            <w:r>
              <w:t xml:space="preserve">763,140</w:t>
            </w:r>
          </w:p>
        </w:tc>
        <w:tc>
          <w:tcPr/>
          <w:p>
            <w:pPr>
              <w:pStyle w:val="Compact"/>
              <w:jc w:val="right"/>
            </w:pPr>
            <w:r>
              <w:t xml:space="preserve">19.53</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Assembly Shop (C)</w:t>
            </w:r>
          </w:p>
        </w:tc>
        <w:tc>
          <w:tcPr/>
          <w:p>
            <w:pPr>
              <w:pStyle w:val="Compact"/>
              <w:jc w:val="right"/>
            </w:pPr>
            <w:r>
              <w:t xml:space="preserve">423,930</w:t>
            </w:r>
          </w:p>
        </w:tc>
        <w:tc>
          <w:tcPr/>
          <w:p>
            <w:pPr>
              <w:pStyle w:val="Compact"/>
              <w:jc w:val="right"/>
            </w:pPr>
            <w:r>
              <w:t xml:space="preserve">10.85</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Pre-Erection Area - Dock 6</w:t>
            </w:r>
            <w:r>
              <w:t xml:space="preserve"> </w:t>
            </w:r>
            <w:r>
              <w:t xml:space="preserve">(Pre-Erection Shelter A, B)</w:t>
            </w:r>
          </w:p>
        </w:tc>
        <w:tc>
          <w:tcPr/>
          <w:p>
            <w:pPr>
              <w:pStyle w:val="Compact"/>
              <w:jc w:val="right"/>
            </w:pPr>
            <w:r>
              <w:t xml:space="preserve">372,220</w:t>
            </w:r>
          </w:p>
        </w:tc>
        <w:tc>
          <w:tcPr/>
          <w:p>
            <w:pPr>
              <w:pStyle w:val="Compact"/>
              <w:jc w:val="right"/>
            </w:pPr>
            <w:r>
              <w:t xml:space="preserve">9.53</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Blasting &amp; Painting Shop D</w:t>
            </w:r>
          </w:p>
        </w:tc>
        <w:tc>
          <w:tcPr/>
          <w:p>
            <w:pPr>
              <w:pStyle w:val="Compact"/>
              <w:jc w:val="right"/>
            </w:pPr>
            <w:r>
              <w:t xml:space="preserve">294,280</w:t>
            </w:r>
          </w:p>
        </w:tc>
        <w:tc>
          <w:tcPr/>
          <w:p>
            <w:pPr>
              <w:pStyle w:val="Compact"/>
              <w:jc w:val="right"/>
            </w:pPr>
            <w:r>
              <w:t xml:space="preserve">7.53</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Blasting &amp; Painting Shop C</w:t>
            </w:r>
          </w:p>
        </w:tc>
        <w:tc>
          <w:tcPr/>
          <w:p>
            <w:pPr>
              <w:pStyle w:val="Compact"/>
              <w:jc w:val="right"/>
            </w:pPr>
            <w:r>
              <w:t xml:space="preserve">294,140</w:t>
            </w:r>
          </w:p>
        </w:tc>
        <w:tc>
          <w:tcPr/>
          <w:p>
            <w:pPr>
              <w:pStyle w:val="Compact"/>
              <w:jc w:val="right"/>
            </w:pPr>
            <w:r>
              <w:t xml:space="preserve">7.53</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Welding Shop (B)</w:t>
            </w:r>
          </w:p>
        </w:tc>
        <w:tc>
          <w:tcPr/>
          <w:p>
            <w:pPr>
              <w:pStyle w:val="Compact"/>
              <w:jc w:val="right"/>
            </w:pPr>
            <w:r>
              <w:t xml:space="preserve">207,850</w:t>
            </w:r>
          </w:p>
        </w:tc>
        <w:tc>
          <w:tcPr/>
          <w:p>
            <w:pPr>
              <w:pStyle w:val="Compact"/>
              <w:jc w:val="right"/>
            </w:pPr>
            <w:r>
              <w:t xml:space="preserve">5.32</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Painting Shop A Ext.</w:t>
            </w:r>
          </w:p>
        </w:tc>
        <w:tc>
          <w:tcPr/>
          <w:p>
            <w:pPr>
              <w:pStyle w:val="Compact"/>
              <w:jc w:val="right"/>
            </w:pPr>
            <w:r>
              <w:t xml:space="preserve">205,890</w:t>
            </w:r>
          </w:p>
        </w:tc>
        <w:tc>
          <w:tcPr/>
          <w:p>
            <w:pPr>
              <w:pStyle w:val="Compact"/>
              <w:jc w:val="right"/>
            </w:pPr>
            <w:r>
              <w:t xml:space="preserve">5.27</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Pre-Outfitting Shop (B)</w:t>
            </w:r>
          </w:p>
        </w:tc>
        <w:tc>
          <w:tcPr/>
          <w:p>
            <w:pPr>
              <w:pStyle w:val="Compact"/>
              <w:jc w:val="right"/>
            </w:pPr>
            <w:r>
              <w:t xml:space="preserve">89,950</w:t>
            </w:r>
          </w:p>
        </w:tc>
        <w:tc>
          <w:tcPr/>
          <w:p>
            <w:pPr>
              <w:pStyle w:val="Compact"/>
              <w:jc w:val="right"/>
            </w:pPr>
            <w:r>
              <w:t xml:space="preserve">2.30</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Blasting Shop A</w:t>
            </w:r>
          </w:p>
        </w:tc>
        <w:tc>
          <w:tcPr/>
          <w:p>
            <w:pPr>
              <w:pStyle w:val="Compact"/>
              <w:jc w:val="right"/>
            </w:pPr>
            <w:r>
              <w:t xml:space="preserve">86,050</w:t>
            </w:r>
          </w:p>
        </w:tc>
        <w:tc>
          <w:tcPr/>
          <w:p>
            <w:pPr>
              <w:pStyle w:val="Compact"/>
              <w:jc w:val="right"/>
            </w:pPr>
            <w:r>
              <w:t xml:space="preserve">2.20</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Air Compressed Room - 1</w:t>
            </w:r>
          </w:p>
        </w:tc>
        <w:tc>
          <w:tcPr/>
          <w:p>
            <w:pPr>
              <w:pStyle w:val="Compact"/>
              <w:jc w:val="right"/>
            </w:pPr>
            <w:r>
              <w:t xml:space="preserve">31,580</w:t>
            </w:r>
          </w:p>
        </w:tc>
        <w:tc>
          <w:tcPr/>
          <w:p>
            <w:pPr>
              <w:pStyle w:val="Compact"/>
              <w:jc w:val="right"/>
            </w:pPr>
            <w:r>
              <w:t xml:space="preserve">0.81</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Paint Can Stock Area</w:t>
            </w:r>
          </w:p>
        </w:tc>
        <w:tc>
          <w:tcPr/>
          <w:p>
            <w:pPr>
              <w:pStyle w:val="Compact"/>
              <w:jc w:val="right"/>
            </w:pPr>
            <w:r>
              <w:t xml:space="preserve">30,400</w:t>
            </w:r>
          </w:p>
        </w:tc>
        <w:tc>
          <w:tcPr/>
          <w:p>
            <w:pPr>
              <w:pStyle w:val="Compact"/>
              <w:jc w:val="right"/>
            </w:pPr>
            <w:r>
              <w:t xml:space="preserve">0.78</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Maintenance Shop</w:t>
            </w:r>
          </w:p>
        </w:tc>
        <w:tc>
          <w:tcPr/>
          <w:p>
            <w:pPr>
              <w:pStyle w:val="Compact"/>
              <w:jc w:val="right"/>
            </w:pPr>
            <w:r>
              <w:t xml:space="preserve">29,420</w:t>
            </w:r>
          </w:p>
        </w:tc>
        <w:tc>
          <w:tcPr/>
          <w:p>
            <w:pPr>
              <w:pStyle w:val="Compact"/>
              <w:jc w:val="right"/>
            </w:pPr>
            <w:r>
              <w:t xml:space="preserve">0.75</w:t>
            </w:r>
          </w:p>
        </w:tc>
      </w:tr>
      <w:tr>
        <w:tc>
          <w:tcPr/>
          <w:p>
            <w:pPr>
              <w:pStyle w:val="Compact"/>
              <w:jc w:val="left"/>
            </w:pPr>
            <w:r>
              <w:t xml:space="preserve">Total</w:t>
            </w:r>
          </w:p>
        </w:tc>
        <w:tc>
          <w:tcPr/>
          <w:p>
            <w:pPr>
              <w:pStyle w:val="Compact"/>
              <w:jc w:val="left"/>
            </w:pPr>
            <w:r>
              <w:t xml:space="preserve">-</w:t>
            </w:r>
          </w:p>
        </w:tc>
        <w:tc>
          <w:tcPr/>
          <w:p>
            <w:pPr>
              <w:pStyle w:val="Compact"/>
              <w:jc w:val="right"/>
            </w:pPr>
            <w:r>
              <w:t xml:space="preserve">3,906,950</w:t>
            </w:r>
          </w:p>
        </w:tc>
        <w:tc>
          <w:tcPr/>
          <w:p>
            <w:pPr>
              <w:pStyle w:val="Compact"/>
              <w:jc w:val="right"/>
            </w:pPr>
            <w:r>
              <w:t xml:space="preserve">99.99</w:t>
            </w:r>
          </w:p>
        </w:tc>
      </w:tr>
    </w:tbl>
    <w:p>
      <w:pPr>
        <w:pStyle w:val="BodyText"/>
      </w:pPr>
      <w:r>
        <w:t xml:space="preserve">Table</w:t>
      </w:r>
      <w:r>
        <w:t xml:space="preserve"> </w:t>
      </w:r>
      <w:r>
        <w:t xml:space="preserve">20</w:t>
      </w:r>
      <w:r>
        <w:t xml:space="preserve"> </w:t>
      </w:r>
      <w:r>
        <w:t xml:space="preserve">presents a summary of CAPEX items subjected to Miscellaneous.</w:t>
      </w:r>
    </w:p>
    <w:p>
      <w:pPr>
        <w:pStyle w:val="TableCaption"/>
      </w:pPr>
      <w:r>
        <w:t xml:space="preserve">Table 20: Dock6 CAPEX Distribution - Miscellaneous</w:t>
      </w:r>
    </w:p>
    <w:tbl>
      <w:tblPr>
        <w:tblStyle w:val="Table"/>
        <w:tblW w:type="pct" w:w="5000"/>
        <w:tblLook w:firstRow="1" w:lastRow="0" w:firstColumn="0" w:lastColumn="0" w:noHBand="0" w:noVBand="0" w:val="0020"/>
        <w:tblCaption w:val="Table 20: Dock6 CAPEX Distribution - Miscellaneous"/>
      </w:tblPr>
      <w:tblGrid>
        <w:gridCol w:w="2509"/>
        <w:gridCol w:w="940"/>
        <w:gridCol w:w="940"/>
        <w:gridCol w:w="1019"/>
        <w:gridCol w:w="862"/>
        <w:gridCol w:w="940"/>
        <w:gridCol w:w="705"/>
      </w:tblGrid>
      <w:tr>
        <w:trPr>
          <w:tblHeader w:val="true"/>
        </w:trPr>
        <w:tc>
          <w:tcPr/>
          <w:p>
            <w:pPr>
              <w:pStyle w:val="Compact"/>
              <w:jc w:val="left"/>
            </w:pPr>
            <w:r>
              <w:t xml:space="preserve">Facilities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Panel Shop</w:t>
            </w:r>
          </w:p>
        </w:tc>
        <w:tc>
          <w:tcPr/>
          <w:p>
            <w:pPr>
              <w:pStyle w:val="Compact"/>
              <w:jc w:val="right"/>
            </w:pPr>
            <w:r>
              <w:t xml:space="preserve">109,970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109,970</w:t>
            </w:r>
          </w:p>
        </w:tc>
        <w:tc>
          <w:tcPr/>
          <w:p>
            <w:pPr>
              <w:pStyle w:val="Compact"/>
              <w:jc w:val="right"/>
            </w:pPr>
            <w:r>
              <w:t xml:space="preserve">10.96</w:t>
            </w:r>
          </w:p>
        </w:tc>
      </w:tr>
      <w:tr>
        <w:tc>
          <w:tcPr/>
          <w:p>
            <w:pPr>
              <w:pStyle w:val="Compact"/>
              <w:jc w:val="left"/>
            </w:pPr>
            <w:r>
              <w:t xml:space="preserve">Hull Shop B</w:t>
            </w:r>
          </w:p>
        </w:tc>
        <w:tc>
          <w:tcPr/>
          <w:p>
            <w:pPr>
              <w:pStyle w:val="Compact"/>
              <w:jc w:val="right"/>
            </w:pPr>
            <w:r>
              <w:t xml:space="preserve">77,850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77,850</w:t>
            </w:r>
          </w:p>
        </w:tc>
        <w:tc>
          <w:tcPr/>
          <w:p>
            <w:pPr>
              <w:pStyle w:val="Compact"/>
              <w:jc w:val="right"/>
            </w:pPr>
            <w:r>
              <w:t xml:space="preserve">7.76</w:t>
            </w:r>
          </w:p>
        </w:tc>
      </w:tr>
      <w:tr>
        <w:tc>
          <w:tcPr/>
          <w:p>
            <w:pPr>
              <w:pStyle w:val="Compact"/>
              <w:jc w:val="left"/>
            </w:pPr>
            <w:r>
              <w:t xml:space="preserve">Waste Matter/Scrap Iron Stock</w:t>
            </w:r>
          </w:p>
        </w:tc>
        <w:tc>
          <w:tcPr/>
          <w:p>
            <w:pPr>
              <w:pStyle w:val="Compact"/>
              <w:jc w:val="right"/>
            </w:pPr>
            <w:r>
              <w:t xml:space="preserve">76,480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76,480</w:t>
            </w:r>
          </w:p>
        </w:tc>
        <w:tc>
          <w:tcPr/>
          <w:p>
            <w:pPr>
              <w:pStyle w:val="Compact"/>
              <w:jc w:val="right"/>
            </w:pPr>
            <w:r>
              <w:t xml:space="preserve">7.62</w:t>
            </w:r>
          </w:p>
        </w:tc>
      </w:tr>
      <w:tr>
        <w:tc>
          <w:tcPr/>
          <w:p>
            <w:pPr>
              <w:pStyle w:val="Compact"/>
              <w:jc w:val="left"/>
            </w:pPr>
            <w:r>
              <w:t xml:space="preserve">Steel Stock Yard</w:t>
            </w:r>
          </w:p>
        </w:tc>
        <w:tc>
          <w:tcPr/>
          <w:p>
            <w:pPr>
              <w:pStyle w:val="Compact"/>
              <w:jc w:val="right"/>
            </w:pPr>
            <w:r>
              <w:t xml:space="preserve">73,090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73,090</w:t>
            </w:r>
          </w:p>
        </w:tc>
        <w:tc>
          <w:tcPr/>
          <w:p>
            <w:pPr>
              <w:pStyle w:val="Compact"/>
              <w:jc w:val="right"/>
            </w:pPr>
            <w:r>
              <w:t xml:space="preserve">7.28</w:t>
            </w:r>
          </w:p>
        </w:tc>
      </w:tr>
      <w:tr>
        <w:tc>
          <w:tcPr/>
          <w:p>
            <w:pPr>
              <w:pStyle w:val="Compact"/>
              <w:jc w:val="left"/>
            </w:pPr>
            <w:r>
              <w:t xml:space="preserve">Sub Station #32</w:t>
            </w:r>
          </w:p>
        </w:tc>
        <w:tc>
          <w:tcPr/>
          <w:p>
            <w:pPr>
              <w:pStyle w:val="Compact"/>
              <w:jc w:val="right"/>
            </w:pPr>
            <w:r>
              <w:t xml:space="preserve">47,060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47,060</w:t>
            </w:r>
          </w:p>
        </w:tc>
        <w:tc>
          <w:tcPr/>
          <w:p>
            <w:pPr>
              <w:pStyle w:val="Compact"/>
              <w:jc w:val="right"/>
            </w:pPr>
            <w:r>
              <w:t xml:space="preserve">4.69</w:t>
            </w:r>
          </w:p>
        </w:tc>
      </w:tr>
      <w:tr>
        <w:tc>
          <w:tcPr/>
          <w:p>
            <w:pPr>
              <w:pStyle w:val="Compact"/>
              <w:jc w:val="left"/>
            </w:pPr>
            <w:r>
              <w:t xml:space="preserve">Sub station #22</w:t>
            </w:r>
          </w:p>
        </w:tc>
        <w:tc>
          <w:tcPr/>
          <w:p>
            <w:pPr>
              <w:pStyle w:val="Compact"/>
              <w:jc w:val="right"/>
            </w:pPr>
            <w:r>
              <w:t xml:space="preserve">44,710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44,710</w:t>
            </w:r>
          </w:p>
        </w:tc>
        <w:tc>
          <w:tcPr/>
          <w:p>
            <w:pPr>
              <w:pStyle w:val="Compact"/>
              <w:jc w:val="right"/>
            </w:pPr>
            <w:r>
              <w:t xml:space="preserve">4.46</w:t>
            </w:r>
          </w:p>
        </w:tc>
      </w:tr>
      <w:tr>
        <w:tc>
          <w:tcPr/>
          <w:p>
            <w:pPr>
              <w:pStyle w:val="Compact"/>
              <w:jc w:val="left"/>
            </w:pPr>
            <w:r>
              <w:t xml:space="preserve">Sub station #26</w:t>
            </w:r>
          </w:p>
        </w:tc>
        <w:tc>
          <w:tcPr/>
          <w:p>
            <w:pPr>
              <w:pStyle w:val="Compact"/>
              <w:jc w:val="right"/>
            </w:pPr>
            <w:r>
              <w:t xml:space="preserve">44,710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44,710</w:t>
            </w:r>
          </w:p>
        </w:tc>
        <w:tc>
          <w:tcPr/>
          <w:p>
            <w:pPr>
              <w:pStyle w:val="Compact"/>
              <w:jc w:val="right"/>
            </w:pPr>
            <w:r>
              <w:t xml:space="preserve">4.46</w:t>
            </w:r>
          </w:p>
        </w:tc>
      </w:tr>
      <w:tr>
        <w:tc>
          <w:tcPr/>
          <w:p>
            <w:pPr>
              <w:pStyle w:val="Compact"/>
              <w:jc w:val="left"/>
            </w:pPr>
            <w:r>
              <w:t xml:space="preserve">Assembly Shop (C)</w:t>
            </w:r>
          </w:p>
        </w:tc>
        <w:tc>
          <w:tcPr/>
          <w:p>
            <w:pPr>
              <w:pStyle w:val="Compact"/>
              <w:jc w:val="right"/>
            </w:pPr>
            <w:r>
              <w:t xml:space="preserve">43,460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43,460</w:t>
            </w:r>
          </w:p>
        </w:tc>
        <w:tc>
          <w:tcPr/>
          <w:p>
            <w:pPr>
              <w:pStyle w:val="Compact"/>
              <w:jc w:val="right"/>
            </w:pPr>
            <w:r>
              <w:t xml:space="preserve">4.33</w:t>
            </w:r>
          </w:p>
        </w:tc>
      </w:tr>
      <w:tr>
        <w:tc>
          <w:tcPr/>
          <w:p>
            <w:pPr>
              <w:pStyle w:val="Compact"/>
              <w:jc w:val="left"/>
            </w:pPr>
            <w:r>
              <w:t xml:space="preserve">Air Compressed Room - 1</w:t>
            </w:r>
          </w:p>
        </w:tc>
        <w:tc>
          <w:tcPr/>
          <w:p>
            <w:pPr>
              <w:pStyle w:val="Compact"/>
              <w:jc w:val="right"/>
            </w:pPr>
            <w:r>
              <w:t xml:space="preserve">0</w:t>
            </w:r>
          </w:p>
        </w:tc>
        <w:tc>
          <w:tcPr/>
          <w:p>
            <w:pPr>
              <w:pStyle w:val="Compact"/>
              <w:jc w:val="right"/>
            </w:pPr>
            <w:r>
              <w:t xml:space="preserve">39,480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39,480</w:t>
            </w:r>
          </w:p>
        </w:tc>
        <w:tc>
          <w:tcPr/>
          <w:p>
            <w:pPr>
              <w:pStyle w:val="Compact"/>
              <w:jc w:val="right"/>
            </w:pPr>
            <w:r>
              <w:t xml:space="preserve">3.93</w:t>
            </w:r>
          </w:p>
        </w:tc>
      </w:tr>
      <w:tr>
        <w:tc>
          <w:tcPr/>
          <w:p>
            <w:pPr>
              <w:pStyle w:val="Compact"/>
              <w:jc w:val="left"/>
            </w:pPr>
            <w:r>
              <w:t xml:space="preserve">Pre-Erection Area - Dock 6</w:t>
            </w:r>
            <w:r>
              <w:t xml:space="preserve"> </w:t>
            </w:r>
            <w:r>
              <w:t xml:space="preserve">(Pre-Erection Shelter A, B)</w:t>
            </w:r>
          </w:p>
        </w:tc>
        <w:tc>
          <w:tcPr/>
          <w:p>
            <w:pPr>
              <w:pStyle w:val="Compact"/>
              <w:jc w:val="right"/>
            </w:pPr>
            <w:r>
              <w:t xml:space="preserve">37,970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37,970</w:t>
            </w:r>
          </w:p>
        </w:tc>
        <w:tc>
          <w:tcPr/>
          <w:p>
            <w:pPr>
              <w:pStyle w:val="Compact"/>
              <w:jc w:val="right"/>
            </w:pPr>
            <w:r>
              <w:t xml:space="preserve">3.78</w:t>
            </w:r>
          </w:p>
        </w:tc>
      </w:tr>
      <w:tr>
        <w:tc>
          <w:tcPr/>
          <w:p>
            <w:pPr>
              <w:pStyle w:val="Compact"/>
              <w:jc w:val="left"/>
            </w:pPr>
            <w:r>
              <w:t xml:space="preserve">Field Office 11B</w:t>
            </w:r>
          </w:p>
        </w:tc>
        <w:tc>
          <w:tcPr/>
          <w:p>
            <w:pPr>
              <w:pStyle w:val="Compact"/>
              <w:jc w:val="right"/>
            </w:pPr>
            <w:r>
              <w:t xml:space="preserve">30,260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30,260</w:t>
            </w:r>
          </w:p>
        </w:tc>
        <w:tc>
          <w:tcPr/>
          <w:p>
            <w:pPr>
              <w:pStyle w:val="Compact"/>
              <w:jc w:val="right"/>
            </w:pPr>
            <w:r>
              <w:t xml:space="preserve">3.02</w:t>
            </w:r>
          </w:p>
        </w:tc>
      </w:tr>
      <w:tr>
        <w:tc>
          <w:tcPr/>
          <w:p>
            <w:pPr>
              <w:pStyle w:val="Compact"/>
              <w:jc w:val="left"/>
            </w:pPr>
            <w:r>
              <w:t xml:space="preserve">Field Office 9</w:t>
            </w:r>
          </w:p>
        </w:tc>
        <w:tc>
          <w:tcPr/>
          <w:p>
            <w:pPr>
              <w:pStyle w:val="Compact"/>
              <w:jc w:val="right"/>
            </w:pPr>
            <w:r>
              <w:t xml:space="preserve">30,070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30,070</w:t>
            </w:r>
          </w:p>
        </w:tc>
        <w:tc>
          <w:tcPr/>
          <w:p>
            <w:pPr>
              <w:pStyle w:val="Compact"/>
              <w:jc w:val="right"/>
            </w:pPr>
            <w:r>
              <w:t xml:space="preserve">3.00</w:t>
            </w:r>
          </w:p>
        </w:tc>
      </w:tr>
      <w:tr>
        <w:tc>
          <w:tcPr/>
          <w:p>
            <w:pPr>
              <w:pStyle w:val="Compact"/>
              <w:jc w:val="left"/>
            </w:pPr>
            <w:r>
              <w:t xml:space="preserve">Blasting &amp; Painting Shop D</w:t>
            </w:r>
          </w:p>
        </w:tc>
        <w:tc>
          <w:tcPr/>
          <w:p>
            <w:pPr>
              <w:pStyle w:val="Compact"/>
              <w:jc w:val="right"/>
            </w:pPr>
            <w:r>
              <w:t xml:space="preserve">29,430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29,430</w:t>
            </w:r>
          </w:p>
        </w:tc>
        <w:tc>
          <w:tcPr/>
          <w:p>
            <w:pPr>
              <w:pStyle w:val="Compact"/>
              <w:jc w:val="right"/>
            </w:pPr>
            <w:r>
              <w:t xml:space="preserve">2.93</w:t>
            </w:r>
          </w:p>
        </w:tc>
      </w:tr>
      <w:tr>
        <w:tc>
          <w:tcPr/>
          <w:p>
            <w:pPr>
              <w:pStyle w:val="Compact"/>
              <w:jc w:val="left"/>
            </w:pPr>
            <w:r>
              <w:t xml:space="preserve">Blasting &amp; Painting Shop C</w:t>
            </w:r>
          </w:p>
        </w:tc>
        <w:tc>
          <w:tcPr/>
          <w:p>
            <w:pPr>
              <w:pStyle w:val="Compact"/>
              <w:jc w:val="right"/>
            </w:pPr>
            <w:r>
              <w:t xml:space="preserve">29,420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29,420</w:t>
            </w:r>
          </w:p>
        </w:tc>
        <w:tc>
          <w:tcPr/>
          <w:p>
            <w:pPr>
              <w:pStyle w:val="Compact"/>
              <w:jc w:val="right"/>
            </w:pPr>
            <w:r>
              <w:t xml:space="preserve">2.93</w:t>
            </w:r>
          </w:p>
        </w:tc>
      </w:tr>
      <w:tr>
        <w:tc>
          <w:tcPr/>
          <w:p>
            <w:pPr>
              <w:pStyle w:val="Compact"/>
              <w:jc w:val="left"/>
            </w:pPr>
            <w:r>
              <w:t xml:space="preserve">Blasting Shop A</w:t>
            </w:r>
          </w:p>
        </w:tc>
        <w:tc>
          <w:tcPr/>
          <w:p>
            <w:pPr>
              <w:pStyle w:val="Compact"/>
              <w:jc w:val="right"/>
            </w:pPr>
            <w:r>
              <w:t xml:space="preserve">27,470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27,470</w:t>
            </w:r>
          </w:p>
        </w:tc>
        <w:tc>
          <w:tcPr/>
          <w:p>
            <w:pPr>
              <w:pStyle w:val="Compact"/>
              <w:jc w:val="right"/>
            </w:pPr>
            <w:r>
              <w:t xml:space="preserve">2.74</w:t>
            </w:r>
          </w:p>
        </w:tc>
      </w:tr>
      <w:tr>
        <w:tc>
          <w:tcPr/>
          <w:p>
            <w:pPr>
              <w:pStyle w:val="Compact"/>
              <w:jc w:val="left"/>
            </w:pPr>
            <w:r>
              <w:t xml:space="preserve">Field Office 10</w:t>
            </w:r>
          </w:p>
        </w:tc>
        <w:tc>
          <w:tcPr/>
          <w:p>
            <w:pPr>
              <w:pStyle w:val="Compact"/>
              <w:jc w:val="right"/>
            </w:pPr>
            <w:r>
              <w:t xml:space="preserve">25,540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25,540</w:t>
            </w:r>
          </w:p>
        </w:tc>
        <w:tc>
          <w:tcPr/>
          <w:p>
            <w:pPr>
              <w:pStyle w:val="Compact"/>
              <w:jc w:val="right"/>
            </w:pPr>
            <w:r>
              <w:t xml:space="preserve">2.55</w:t>
            </w:r>
          </w:p>
        </w:tc>
      </w:tr>
      <w:tr>
        <w:tc>
          <w:tcPr/>
          <w:p>
            <w:pPr>
              <w:pStyle w:val="Compact"/>
              <w:jc w:val="left"/>
            </w:pPr>
            <w:r>
              <w:t xml:space="preserve">Sub station #21</w:t>
            </w:r>
          </w:p>
        </w:tc>
        <w:tc>
          <w:tcPr/>
          <w:p>
            <w:pPr>
              <w:pStyle w:val="Compact"/>
              <w:jc w:val="right"/>
            </w:pPr>
            <w:r>
              <w:t xml:space="preserve">25,500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25,500</w:t>
            </w:r>
          </w:p>
        </w:tc>
        <w:tc>
          <w:tcPr/>
          <w:p>
            <w:pPr>
              <w:pStyle w:val="Compact"/>
              <w:jc w:val="right"/>
            </w:pPr>
            <w:r>
              <w:t xml:space="preserve">2.54</w:t>
            </w:r>
          </w:p>
        </w:tc>
      </w:tr>
      <w:tr>
        <w:tc>
          <w:tcPr/>
          <w:p>
            <w:pPr>
              <w:pStyle w:val="Compact"/>
              <w:jc w:val="left"/>
            </w:pPr>
            <w:r>
              <w:t xml:space="preserve">Fire Station</w:t>
            </w:r>
          </w:p>
        </w:tc>
        <w:tc>
          <w:tcPr/>
          <w:p>
            <w:pPr>
              <w:pStyle w:val="Compact"/>
              <w:jc w:val="right"/>
            </w:pPr>
            <w:r>
              <w:t xml:space="preserve">22,060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22,060</w:t>
            </w:r>
          </w:p>
        </w:tc>
        <w:tc>
          <w:tcPr/>
          <w:p>
            <w:pPr>
              <w:pStyle w:val="Compact"/>
              <w:jc w:val="right"/>
            </w:pPr>
            <w:r>
              <w:t xml:space="preserve">2.20</w:t>
            </w:r>
          </w:p>
        </w:tc>
      </w:tr>
      <w:tr>
        <w:tc>
          <w:tcPr/>
          <w:p>
            <w:pPr>
              <w:pStyle w:val="Compact"/>
              <w:jc w:val="left"/>
            </w:pPr>
            <w:r>
              <w:t xml:space="preserve">Welding Shop (B)</w:t>
            </w:r>
          </w:p>
        </w:tc>
        <w:tc>
          <w:tcPr/>
          <w:p>
            <w:pPr>
              <w:pStyle w:val="Compact"/>
              <w:jc w:val="right"/>
            </w:pPr>
            <w:r>
              <w:t xml:space="preserve">22,040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22,040</w:t>
            </w:r>
          </w:p>
        </w:tc>
        <w:tc>
          <w:tcPr/>
          <w:p>
            <w:pPr>
              <w:pStyle w:val="Compact"/>
              <w:jc w:val="right"/>
            </w:pPr>
            <w:r>
              <w:t xml:space="preserve">2.20</w:t>
            </w:r>
          </w:p>
        </w:tc>
      </w:tr>
      <w:tr>
        <w:tc>
          <w:tcPr/>
          <w:p>
            <w:pPr>
              <w:pStyle w:val="Compact"/>
              <w:jc w:val="left"/>
            </w:pPr>
            <w:r>
              <w:t xml:space="preserve">Painting Shop A Ext.</w:t>
            </w:r>
          </w:p>
        </w:tc>
        <w:tc>
          <w:tcPr/>
          <w:p>
            <w:pPr>
              <w:pStyle w:val="Compact"/>
              <w:jc w:val="right"/>
            </w:pPr>
            <w:r>
              <w:t xml:space="preserve">20,590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20,590</w:t>
            </w:r>
          </w:p>
        </w:tc>
        <w:tc>
          <w:tcPr/>
          <w:p>
            <w:pPr>
              <w:pStyle w:val="Compact"/>
              <w:jc w:val="right"/>
            </w:pPr>
            <w:r>
              <w:t xml:space="preserve">2.05</w:t>
            </w:r>
          </w:p>
        </w:tc>
      </w:tr>
      <w:tr>
        <w:tc>
          <w:tcPr/>
          <w:p>
            <w:pPr>
              <w:pStyle w:val="Compact"/>
              <w:jc w:val="left"/>
            </w:pPr>
            <w:r>
              <w:t xml:space="preserve">Field Office 11A</w:t>
            </w:r>
          </w:p>
        </w:tc>
        <w:tc>
          <w:tcPr/>
          <w:p>
            <w:pPr>
              <w:pStyle w:val="Compact"/>
              <w:jc w:val="right"/>
            </w:pPr>
            <w:r>
              <w:t xml:space="preserve">19,880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19,880</w:t>
            </w:r>
          </w:p>
        </w:tc>
        <w:tc>
          <w:tcPr/>
          <w:p>
            <w:pPr>
              <w:pStyle w:val="Compact"/>
              <w:jc w:val="right"/>
            </w:pPr>
            <w:r>
              <w:t xml:space="preserve">1.98</w:t>
            </w:r>
          </w:p>
        </w:tc>
      </w:tr>
      <w:tr>
        <w:tc>
          <w:tcPr/>
          <w:p>
            <w:pPr>
              <w:pStyle w:val="Compact"/>
              <w:jc w:val="left"/>
            </w:pPr>
            <w:r>
              <w:t xml:space="preserve">Sub station #25</w:t>
            </w:r>
          </w:p>
        </w:tc>
        <w:tc>
          <w:tcPr/>
          <w:p>
            <w:pPr>
              <w:pStyle w:val="Compact"/>
              <w:jc w:val="right"/>
            </w:pPr>
            <w:r>
              <w:t xml:space="preserve">19,120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19,120</w:t>
            </w:r>
          </w:p>
        </w:tc>
        <w:tc>
          <w:tcPr/>
          <w:p>
            <w:pPr>
              <w:pStyle w:val="Compact"/>
              <w:jc w:val="right"/>
            </w:pPr>
            <w:r>
              <w:t xml:space="preserve">1.91</w:t>
            </w:r>
          </w:p>
        </w:tc>
      </w:tr>
      <w:tr>
        <w:tc>
          <w:tcPr/>
          <w:p>
            <w:pPr>
              <w:pStyle w:val="Compact"/>
              <w:jc w:val="left"/>
            </w:pPr>
            <w:r>
              <w:t xml:space="preserve">Field Office 12</w:t>
            </w:r>
          </w:p>
        </w:tc>
        <w:tc>
          <w:tcPr/>
          <w:p>
            <w:pPr>
              <w:pStyle w:val="Compact"/>
              <w:jc w:val="right"/>
            </w:pPr>
            <w:r>
              <w:t xml:space="preserve">19,080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19,080</w:t>
            </w:r>
          </w:p>
        </w:tc>
        <w:tc>
          <w:tcPr/>
          <w:p>
            <w:pPr>
              <w:pStyle w:val="Compact"/>
              <w:jc w:val="right"/>
            </w:pPr>
            <w:r>
              <w:t xml:space="preserve">1.90</w:t>
            </w:r>
          </w:p>
        </w:tc>
      </w:tr>
      <w:tr>
        <w:tc>
          <w:tcPr/>
          <w:p>
            <w:pPr>
              <w:pStyle w:val="Compact"/>
              <w:jc w:val="left"/>
            </w:pPr>
            <w:r>
              <w:t xml:space="preserve">Sub Station #30</w:t>
            </w:r>
          </w:p>
        </w:tc>
        <w:tc>
          <w:tcPr/>
          <w:p>
            <w:pPr>
              <w:pStyle w:val="Compact"/>
              <w:jc w:val="right"/>
            </w:pPr>
            <w:r>
              <w:t xml:space="preserve">17,460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17,460</w:t>
            </w:r>
          </w:p>
        </w:tc>
        <w:tc>
          <w:tcPr/>
          <w:p>
            <w:pPr>
              <w:pStyle w:val="Compact"/>
              <w:jc w:val="right"/>
            </w:pPr>
            <w:r>
              <w:t xml:space="preserve">1.74</w:t>
            </w:r>
          </w:p>
        </w:tc>
      </w:tr>
      <w:tr>
        <w:tc>
          <w:tcPr/>
          <w:p>
            <w:pPr>
              <w:pStyle w:val="Compact"/>
              <w:jc w:val="left"/>
            </w:pPr>
            <w:r>
              <w:t xml:space="preserve">Field Office 5A</w:t>
            </w:r>
          </w:p>
        </w:tc>
        <w:tc>
          <w:tcPr/>
          <w:p>
            <w:pPr>
              <w:pStyle w:val="Compact"/>
              <w:jc w:val="right"/>
            </w:pPr>
            <w:r>
              <w:t xml:space="preserve">13,490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13,490</w:t>
            </w:r>
          </w:p>
        </w:tc>
        <w:tc>
          <w:tcPr/>
          <w:p>
            <w:pPr>
              <w:pStyle w:val="Compact"/>
              <w:jc w:val="right"/>
            </w:pPr>
            <w:r>
              <w:t xml:space="preserve">1.34</w:t>
            </w:r>
          </w:p>
        </w:tc>
      </w:tr>
      <w:tr>
        <w:tc>
          <w:tcPr/>
          <w:p>
            <w:pPr>
              <w:pStyle w:val="Compact"/>
              <w:jc w:val="left"/>
            </w:pPr>
            <w:r>
              <w:t xml:space="preserve">Sub station #22-1</w:t>
            </w:r>
          </w:p>
        </w:tc>
        <w:tc>
          <w:tcPr/>
          <w:p>
            <w:pPr>
              <w:pStyle w:val="Compact"/>
              <w:jc w:val="right"/>
            </w:pPr>
            <w:r>
              <w:t xml:space="preserve">13,440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13,440</w:t>
            </w:r>
          </w:p>
        </w:tc>
        <w:tc>
          <w:tcPr/>
          <w:p>
            <w:pPr>
              <w:pStyle w:val="Compact"/>
              <w:jc w:val="right"/>
            </w:pPr>
            <w:r>
              <w:t xml:space="preserve">1.34</w:t>
            </w:r>
          </w:p>
        </w:tc>
      </w:tr>
      <w:tr>
        <w:tc>
          <w:tcPr/>
          <w:p>
            <w:pPr>
              <w:pStyle w:val="Compact"/>
              <w:jc w:val="left"/>
            </w:pPr>
            <w:r>
              <w:t xml:space="preserve">Pre-Outfitting Shop (B)</w:t>
            </w:r>
          </w:p>
        </w:tc>
        <w:tc>
          <w:tcPr/>
          <w:p>
            <w:pPr>
              <w:pStyle w:val="Compact"/>
              <w:jc w:val="right"/>
            </w:pPr>
            <w:r>
              <w:t xml:space="preserve">10,720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10,720</w:t>
            </w:r>
          </w:p>
        </w:tc>
        <w:tc>
          <w:tcPr/>
          <w:p>
            <w:pPr>
              <w:pStyle w:val="Compact"/>
              <w:jc w:val="right"/>
            </w:pPr>
            <w:r>
              <w:t xml:space="preserve">1.07</w:t>
            </w:r>
          </w:p>
        </w:tc>
      </w:tr>
      <w:tr>
        <w:tc>
          <w:tcPr/>
          <w:p>
            <w:pPr>
              <w:pStyle w:val="Compact"/>
              <w:jc w:val="left"/>
            </w:pPr>
            <w:r>
              <w:t xml:space="preserve">Sub Station #23</w:t>
            </w:r>
          </w:p>
        </w:tc>
        <w:tc>
          <w:tcPr/>
          <w:p>
            <w:pPr>
              <w:pStyle w:val="Compact"/>
              <w:jc w:val="right"/>
            </w:pPr>
            <w:r>
              <w:t xml:space="preserve">8,040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8,040</w:t>
            </w:r>
          </w:p>
        </w:tc>
        <w:tc>
          <w:tcPr/>
          <w:p>
            <w:pPr>
              <w:pStyle w:val="Compact"/>
              <w:jc w:val="right"/>
            </w:pPr>
            <w:r>
              <w:t xml:space="preserve">0.80</w:t>
            </w:r>
          </w:p>
        </w:tc>
      </w:tr>
      <w:tr>
        <w:tc>
          <w:tcPr/>
          <w:p>
            <w:pPr>
              <w:pStyle w:val="Compact"/>
              <w:jc w:val="left"/>
            </w:pPr>
            <w:r>
              <w:t xml:space="preserve">Sub Station #24</w:t>
            </w:r>
          </w:p>
        </w:tc>
        <w:tc>
          <w:tcPr/>
          <w:p>
            <w:pPr>
              <w:pStyle w:val="Compact"/>
              <w:jc w:val="right"/>
            </w:pPr>
            <w:r>
              <w:t xml:space="preserve">6,670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6,670</w:t>
            </w:r>
          </w:p>
        </w:tc>
        <w:tc>
          <w:tcPr/>
          <w:p>
            <w:pPr>
              <w:pStyle w:val="Compact"/>
              <w:jc w:val="right"/>
            </w:pPr>
            <w:r>
              <w:t xml:space="preserve">0.66</w:t>
            </w:r>
          </w:p>
        </w:tc>
      </w:tr>
      <w:tr>
        <w:tc>
          <w:tcPr/>
          <w:p>
            <w:pPr>
              <w:pStyle w:val="Compact"/>
              <w:jc w:val="left"/>
            </w:pPr>
            <w:r>
              <w:t xml:space="preserve">Sub Station #34</w:t>
            </w:r>
          </w:p>
        </w:tc>
        <w:tc>
          <w:tcPr/>
          <w:p>
            <w:pPr>
              <w:pStyle w:val="Compact"/>
              <w:jc w:val="right"/>
            </w:pPr>
            <w:r>
              <w:t xml:space="preserve">5,100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5,100</w:t>
            </w:r>
          </w:p>
        </w:tc>
        <w:tc>
          <w:tcPr/>
          <w:p>
            <w:pPr>
              <w:pStyle w:val="Compact"/>
              <w:jc w:val="right"/>
            </w:pPr>
            <w:r>
              <w:t xml:space="preserve">0.51</w:t>
            </w:r>
          </w:p>
        </w:tc>
      </w:tr>
      <w:tr>
        <w:tc>
          <w:tcPr/>
          <w:p>
            <w:pPr>
              <w:pStyle w:val="Compact"/>
              <w:jc w:val="left"/>
            </w:pPr>
            <w:r>
              <w:t xml:space="preserve">Sub Station #10</w:t>
            </w:r>
          </w:p>
        </w:tc>
        <w:tc>
          <w:tcPr/>
          <w:p>
            <w:pPr>
              <w:pStyle w:val="Compact"/>
              <w:jc w:val="right"/>
            </w:pPr>
            <w:r>
              <w:t xml:space="preserve">4,060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4,060</w:t>
            </w:r>
          </w:p>
        </w:tc>
        <w:tc>
          <w:tcPr/>
          <w:p>
            <w:pPr>
              <w:pStyle w:val="Compact"/>
              <w:jc w:val="right"/>
            </w:pPr>
            <w:r>
              <w:t xml:space="preserve">0.40</w:t>
            </w:r>
          </w:p>
        </w:tc>
      </w:tr>
      <w:tr>
        <w:tc>
          <w:tcPr/>
          <w:p>
            <w:pPr>
              <w:pStyle w:val="Compact"/>
              <w:jc w:val="left"/>
            </w:pPr>
            <w:r>
              <w:t xml:space="preserve">Spill Prevention</w:t>
            </w:r>
            <w:r>
              <w:t xml:space="preserve"> </w:t>
            </w:r>
            <w:r>
              <w:t xml:space="preserve">Kits/Secondary Containment</w:t>
            </w:r>
            <w:r>
              <w:t xml:space="preserve"> </w:t>
            </w:r>
            <w:r>
              <w:t xml:space="preserve">Dock 6</w:t>
            </w:r>
          </w:p>
        </w:tc>
        <w:tc>
          <w:tcPr/>
          <w:p>
            <w:pPr>
              <w:pStyle w:val="Compact"/>
              <w:jc w:val="right"/>
            </w:pPr>
            <w:r>
              <w:t xml:space="preserve">3,260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3,260</w:t>
            </w:r>
          </w:p>
        </w:tc>
        <w:tc>
          <w:tcPr/>
          <w:p>
            <w:pPr>
              <w:pStyle w:val="Compact"/>
              <w:jc w:val="right"/>
            </w:pPr>
            <w:r>
              <w:t xml:space="preserve">0.32</w:t>
            </w:r>
          </w:p>
        </w:tc>
      </w:tr>
      <w:tr>
        <w:tc>
          <w:tcPr/>
          <w:p>
            <w:pPr>
              <w:pStyle w:val="Compact"/>
              <w:jc w:val="left"/>
            </w:pPr>
            <w:r>
              <w:t xml:space="preserve">Paint Can Stock Area</w:t>
            </w:r>
          </w:p>
        </w:tc>
        <w:tc>
          <w:tcPr/>
          <w:p>
            <w:pPr>
              <w:pStyle w:val="Compact"/>
              <w:jc w:val="right"/>
            </w:pPr>
            <w:r>
              <w:t xml:space="preserve">3,040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3,040</w:t>
            </w:r>
          </w:p>
        </w:tc>
        <w:tc>
          <w:tcPr/>
          <w:p>
            <w:pPr>
              <w:pStyle w:val="Compact"/>
              <w:jc w:val="right"/>
            </w:pPr>
            <w:r>
              <w:t xml:space="preserve">0.30</w:t>
            </w:r>
          </w:p>
        </w:tc>
      </w:tr>
      <w:tr>
        <w:tc>
          <w:tcPr/>
          <w:p>
            <w:pPr>
              <w:pStyle w:val="Compact"/>
              <w:jc w:val="left"/>
            </w:pPr>
            <w:r>
              <w:t xml:space="preserve">Maintenance Shop</w:t>
            </w:r>
          </w:p>
        </w:tc>
        <w:tc>
          <w:tcPr/>
          <w:p>
            <w:pPr>
              <w:pStyle w:val="Compact"/>
              <w:jc w:val="right"/>
            </w:pPr>
            <w:r>
              <w:t xml:space="preserve">2,950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2,950</w:t>
            </w:r>
          </w:p>
        </w:tc>
        <w:tc>
          <w:tcPr/>
          <w:p>
            <w:pPr>
              <w:pStyle w:val="Compact"/>
              <w:jc w:val="right"/>
            </w:pPr>
            <w:r>
              <w:t xml:space="preserve">0.29</w:t>
            </w:r>
          </w:p>
        </w:tc>
      </w:tr>
      <w:tr>
        <w:tc>
          <w:tcPr/>
          <w:p>
            <w:pPr>
              <w:pStyle w:val="Compact"/>
              <w:jc w:val="left"/>
            </w:pPr>
            <w:r>
              <w:t xml:space="preserve">Total</w:t>
            </w:r>
          </w:p>
        </w:tc>
        <w:tc>
          <w:tcPr/>
          <w:p>
            <w:pPr>
              <w:pStyle w:val="Compact"/>
              <w:jc w:val="right"/>
            </w:pPr>
            <w:r>
              <w:t xml:space="preserve">963,990</w:t>
            </w:r>
          </w:p>
        </w:tc>
        <w:tc>
          <w:tcPr/>
          <w:p>
            <w:pPr>
              <w:pStyle w:val="Compact"/>
              <w:jc w:val="right"/>
            </w:pPr>
            <w:r>
              <w:t xml:space="preserve">39,480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1,003,470</w:t>
            </w:r>
          </w:p>
        </w:tc>
        <w:tc>
          <w:tcPr/>
          <w:p>
            <w:pPr>
              <w:pStyle w:val="Compact"/>
              <w:jc w:val="right"/>
            </w:pPr>
            <w:r>
              <w:t xml:space="preserve">100.00</w:t>
            </w:r>
          </w:p>
        </w:tc>
      </w:tr>
    </w:tbl>
    <w:bookmarkEnd w:id="76"/>
    <w:bookmarkStart w:id="78" w:name="tenant-3-1"/>
    <w:p>
      <w:pPr>
        <w:pStyle w:val="Heading2"/>
      </w:pPr>
      <w:r>
        <w:t xml:space="preserve">Tenant 3</w:t>
      </w:r>
    </w:p>
    <w:p>
      <w:pPr>
        <w:pStyle w:val="FirstParagraph"/>
      </w:pPr>
      <w:r>
        <w:t xml:space="preserve">The distribution of CAPEX under Tenant 3 is presented in the Table</w:t>
      </w:r>
      <w:r>
        <w:t xml:space="preserve"> </w:t>
      </w:r>
      <w:r>
        <w:t xml:space="preserve">21</w:t>
      </w:r>
      <w:r>
        <w:t xml:space="preserve">.</w:t>
      </w:r>
    </w:p>
    <w:p>
      <w:pPr>
        <w:pStyle w:val="TableCaption"/>
      </w:pPr>
      <w:r>
        <w:t xml:space="preserve">Table 21: Tenant3 CAPEX Distribution</w:t>
      </w:r>
    </w:p>
    <w:tbl>
      <w:tblPr>
        <w:tblStyle w:val="Table"/>
        <w:tblW w:type="pct" w:w="5000"/>
        <w:tblLook w:firstRow="1" w:lastRow="0" w:firstColumn="0" w:lastColumn="0" w:noHBand="0" w:noVBand="0" w:val="0020"/>
        <w:tblCaption w:val="Table 21: Tenant3 CAPEX Distribution"/>
      </w:tblPr>
      <w:tblGrid>
        <w:gridCol w:w="1601"/>
        <w:gridCol w:w="1067"/>
        <w:gridCol w:w="1067"/>
        <w:gridCol w:w="1156"/>
        <w:gridCol w:w="1067"/>
        <w:gridCol w:w="1156"/>
        <w:gridCol w:w="800"/>
      </w:tblGrid>
      <w:tr>
        <w:trPr>
          <w:tblHeader w:val="true"/>
        </w:trPr>
        <w:tc>
          <w:tcPr/>
          <w:p>
            <w:pPr>
              <w:pStyle w:val="Compact"/>
              <w:jc w:val="left"/>
            </w:pPr>
            <w:r>
              <w:t xml:space="preserve">Disciplines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Structural</w:t>
            </w:r>
          </w:p>
        </w:tc>
        <w:tc>
          <w:tcPr/>
          <w:p>
            <w:pPr>
              <w:pStyle w:val="Compact"/>
              <w:jc w:val="right"/>
            </w:pPr>
            <w:r>
              <w:t xml:space="preserve">3,906,950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3,906,950</w:t>
            </w:r>
          </w:p>
        </w:tc>
        <w:tc>
          <w:tcPr/>
          <w:p>
            <w:pPr>
              <w:pStyle w:val="Compact"/>
              <w:jc w:val="right"/>
            </w:pPr>
            <w:r>
              <w:t xml:space="preserve">32.31</w:t>
            </w:r>
          </w:p>
        </w:tc>
      </w:tr>
      <w:tr>
        <w:tc>
          <w:tcPr/>
          <w:p>
            <w:pPr>
              <w:pStyle w:val="Compact"/>
              <w:jc w:val="left"/>
            </w:pPr>
            <w:r>
              <w:t xml:space="preserve">Mechanical</w:t>
            </w:r>
          </w:p>
        </w:tc>
        <w:tc>
          <w:tcPr/>
          <w:p>
            <w:pPr>
              <w:pStyle w:val="Compact"/>
              <w:jc w:val="right"/>
            </w:pPr>
            <w:r>
              <w:t xml:space="preserve">151,630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2,413,910</w:t>
            </w:r>
          </w:p>
        </w:tc>
        <w:tc>
          <w:tcPr/>
          <w:p>
            <w:pPr>
              <w:pStyle w:val="Compact"/>
              <w:jc w:val="right"/>
            </w:pPr>
            <w:r>
              <w:t xml:space="preserve">2,565,540</w:t>
            </w:r>
          </w:p>
        </w:tc>
        <w:tc>
          <w:tcPr/>
          <w:p>
            <w:pPr>
              <w:pStyle w:val="Compact"/>
              <w:jc w:val="right"/>
            </w:pPr>
            <w:r>
              <w:t xml:space="preserve">21.22</w:t>
            </w:r>
          </w:p>
        </w:tc>
      </w:tr>
      <w:tr>
        <w:tc>
          <w:tcPr/>
          <w:p>
            <w:pPr>
              <w:pStyle w:val="Compact"/>
              <w:jc w:val="left"/>
            </w:pPr>
            <w:r>
              <w:t xml:space="preserve">Soft Cost</w:t>
            </w:r>
          </w:p>
        </w:tc>
        <w:tc>
          <w:tcPr/>
          <w:p>
            <w:pPr>
              <w:pStyle w:val="Compact"/>
              <w:jc w:val="right"/>
            </w:pPr>
            <w:r>
              <w:t xml:space="preserve">1,860,990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1,860,990</w:t>
            </w:r>
          </w:p>
        </w:tc>
        <w:tc>
          <w:tcPr/>
          <w:p>
            <w:pPr>
              <w:pStyle w:val="Compact"/>
              <w:jc w:val="right"/>
            </w:pPr>
            <w:r>
              <w:t xml:space="preserve">15.39</w:t>
            </w:r>
          </w:p>
        </w:tc>
      </w:tr>
      <w:tr>
        <w:tc>
          <w:tcPr/>
          <w:p>
            <w:pPr>
              <w:pStyle w:val="Compact"/>
              <w:jc w:val="left"/>
            </w:pPr>
            <w:r>
              <w:t xml:space="preserve">Roof</w:t>
            </w:r>
          </w:p>
        </w:tc>
        <w:tc>
          <w:tcPr/>
          <w:p>
            <w:pPr>
              <w:pStyle w:val="Compact"/>
              <w:jc w:val="right"/>
            </w:pPr>
            <w:r>
              <w:t xml:space="preserve">84,620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1,488,210</w:t>
            </w:r>
          </w:p>
        </w:tc>
        <w:tc>
          <w:tcPr/>
          <w:p>
            <w:pPr>
              <w:pStyle w:val="Compact"/>
              <w:jc w:val="right"/>
            </w:pPr>
            <w:r>
              <w:t xml:space="preserve">1,572,830</w:t>
            </w:r>
          </w:p>
        </w:tc>
        <w:tc>
          <w:tcPr/>
          <w:p>
            <w:pPr>
              <w:pStyle w:val="Compact"/>
              <w:jc w:val="right"/>
            </w:pPr>
            <w:r>
              <w:t xml:space="preserve">13.01</w:t>
            </w:r>
          </w:p>
        </w:tc>
      </w:tr>
      <w:tr>
        <w:tc>
          <w:tcPr/>
          <w:p>
            <w:pPr>
              <w:pStyle w:val="Compact"/>
              <w:jc w:val="left"/>
            </w:pPr>
            <w:r>
              <w:t xml:space="preserve">Miscellaneous</w:t>
            </w:r>
          </w:p>
        </w:tc>
        <w:tc>
          <w:tcPr/>
          <w:p>
            <w:pPr>
              <w:pStyle w:val="Compact"/>
              <w:jc w:val="right"/>
            </w:pPr>
            <w:r>
              <w:t xml:space="preserve">963,990</w:t>
            </w:r>
          </w:p>
        </w:tc>
        <w:tc>
          <w:tcPr/>
          <w:p>
            <w:pPr>
              <w:pStyle w:val="Compact"/>
              <w:jc w:val="right"/>
            </w:pPr>
            <w:r>
              <w:t xml:space="preserve">39,480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1,003,470</w:t>
            </w:r>
          </w:p>
        </w:tc>
        <w:tc>
          <w:tcPr/>
          <w:p>
            <w:pPr>
              <w:pStyle w:val="Compact"/>
              <w:jc w:val="right"/>
            </w:pPr>
            <w:r>
              <w:t xml:space="preserve">8.30</w:t>
            </w:r>
          </w:p>
        </w:tc>
      </w:tr>
      <w:tr>
        <w:tc>
          <w:tcPr/>
          <w:p>
            <w:pPr>
              <w:pStyle w:val="Compact"/>
              <w:jc w:val="left"/>
            </w:pPr>
            <w:r>
              <w:t xml:space="preserve">Electrical</w:t>
            </w:r>
          </w:p>
        </w:tc>
        <w:tc>
          <w:tcPr/>
          <w:p>
            <w:pPr>
              <w:pStyle w:val="Compact"/>
              <w:jc w:val="right"/>
            </w:pPr>
            <w:r>
              <w:t xml:space="preserve">453,150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53,270</w:t>
            </w:r>
          </w:p>
        </w:tc>
        <w:tc>
          <w:tcPr/>
          <w:p>
            <w:pPr>
              <w:pStyle w:val="Compact"/>
              <w:jc w:val="right"/>
            </w:pPr>
            <w:r>
              <w:t xml:space="preserve">506,420</w:t>
            </w:r>
          </w:p>
        </w:tc>
        <w:tc>
          <w:tcPr/>
          <w:p>
            <w:pPr>
              <w:pStyle w:val="Compact"/>
              <w:jc w:val="right"/>
            </w:pPr>
            <w:r>
              <w:t xml:space="preserve">4.19</w:t>
            </w:r>
          </w:p>
        </w:tc>
      </w:tr>
      <w:tr>
        <w:tc>
          <w:tcPr/>
          <w:p>
            <w:pPr>
              <w:pStyle w:val="Compact"/>
              <w:jc w:val="left"/>
            </w:pPr>
            <w:r>
              <w:t xml:space="preserve">Architectural</w:t>
            </w:r>
          </w:p>
        </w:tc>
        <w:tc>
          <w:tcPr/>
          <w:p>
            <w:pPr>
              <w:pStyle w:val="Compact"/>
              <w:jc w:val="right"/>
            </w:pPr>
            <w:r>
              <w:t xml:space="preserve">147,040</w:t>
            </w:r>
          </w:p>
        </w:tc>
        <w:tc>
          <w:tcPr/>
          <w:p>
            <w:pPr>
              <w:pStyle w:val="Compact"/>
              <w:jc w:val="right"/>
            </w:pPr>
            <w:r>
              <w:t xml:space="preserve">12,700</w:t>
            </w:r>
          </w:p>
        </w:tc>
        <w:tc>
          <w:tcPr/>
          <w:p>
            <w:pPr>
              <w:pStyle w:val="Compact"/>
              <w:jc w:val="right"/>
            </w:pPr>
            <w:r>
              <w:t xml:space="preserve">56,370</w:t>
            </w:r>
          </w:p>
        </w:tc>
        <w:tc>
          <w:tcPr/>
          <w:p>
            <w:pPr>
              <w:pStyle w:val="Compact"/>
              <w:jc w:val="right"/>
            </w:pPr>
            <w:r>
              <w:t xml:space="preserve">209,390</w:t>
            </w:r>
          </w:p>
        </w:tc>
        <w:tc>
          <w:tcPr/>
          <w:p>
            <w:pPr>
              <w:pStyle w:val="Compact"/>
              <w:jc w:val="right"/>
            </w:pPr>
            <w:r>
              <w:t xml:space="preserve">425,500</w:t>
            </w:r>
          </w:p>
        </w:tc>
        <w:tc>
          <w:tcPr/>
          <w:p>
            <w:pPr>
              <w:pStyle w:val="Compact"/>
              <w:jc w:val="right"/>
            </w:pPr>
            <w:r>
              <w:t xml:space="preserve">3.52</w:t>
            </w:r>
          </w:p>
        </w:tc>
      </w:tr>
      <w:tr>
        <w:tc>
          <w:tcPr/>
          <w:p>
            <w:pPr>
              <w:pStyle w:val="Compact"/>
              <w:jc w:val="left"/>
            </w:pPr>
            <w:r>
              <w:t xml:space="preserve">Fire Protection</w:t>
            </w:r>
          </w:p>
        </w:tc>
        <w:tc>
          <w:tcPr/>
          <w:p>
            <w:pPr>
              <w:pStyle w:val="Compact"/>
              <w:jc w:val="right"/>
            </w:pPr>
            <w:r>
              <w:t xml:space="preserve">210,330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210,330</w:t>
            </w:r>
          </w:p>
        </w:tc>
        <w:tc>
          <w:tcPr/>
          <w:p>
            <w:pPr>
              <w:pStyle w:val="Compact"/>
              <w:jc w:val="right"/>
            </w:pPr>
            <w:r>
              <w:t xml:space="preserve">1.74</w:t>
            </w:r>
          </w:p>
        </w:tc>
      </w:tr>
      <w:tr>
        <w:tc>
          <w:tcPr/>
          <w:p>
            <w:pPr>
              <w:pStyle w:val="Compact"/>
              <w:jc w:val="left"/>
            </w:pPr>
            <w:r>
              <w:t xml:space="preserve">Environmental</w:t>
            </w:r>
          </w:p>
        </w:tc>
        <w:tc>
          <w:tcPr/>
          <w:p>
            <w:pPr>
              <w:pStyle w:val="Compact"/>
              <w:jc w:val="right"/>
            </w:pPr>
            <w:r>
              <w:t xml:space="preserve">32,500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32,500</w:t>
            </w:r>
          </w:p>
        </w:tc>
        <w:tc>
          <w:tcPr/>
          <w:p>
            <w:pPr>
              <w:pStyle w:val="Compact"/>
              <w:jc w:val="right"/>
            </w:pPr>
            <w:r>
              <w:t xml:space="preserve">0.27</w:t>
            </w:r>
          </w:p>
        </w:tc>
      </w:tr>
      <w:tr>
        <w:tc>
          <w:tcPr/>
          <w:p>
            <w:pPr>
              <w:pStyle w:val="Compact"/>
              <w:jc w:val="left"/>
            </w:pPr>
            <w:r>
              <w:t xml:space="preserve">Plumbing</w:t>
            </w:r>
          </w:p>
        </w:tc>
        <w:tc>
          <w:tcPr/>
          <w:p>
            <w:pPr>
              <w:pStyle w:val="Compact"/>
              <w:jc w:val="right"/>
            </w:pPr>
            <w:r>
              <w:t xml:space="preserve">6,870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6,870</w:t>
            </w:r>
          </w:p>
        </w:tc>
        <w:tc>
          <w:tcPr/>
          <w:p>
            <w:pPr>
              <w:pStyle w:val="Compact"/>
              <w:jc w:val="right"/>
            </w:pPr>
            <w:r>
              <w:t xml:space="preserve">0.06</w:t>
            </w:r>
          </w:p>
        </w:tc>
      </w:tr>
      <w:tr>
        <w:tc>
          <w:tcPr/>
          <w:p>
            <w:pPr>
              <w:pStyle w:val="Compact"/>
              <w:jc w:val="left"/>
            </w:pPr>
            <w:r>
              <w:t xml:space="preserve">Total</w:t>
            </w:r>
          </w:p>
        </w:tc>
        <w:tc>
          <w:tcPr/>
          <w:p>
            <w:pPr>
              <w:pStyle w:val="Compact"/>
              <w:jc w:val="right"/>
            </w:pPr>
            <w:r>
              <w:t xml:space="preserve">7,818,070</w:t>
            </w:r>
          </w:p>
        </w:tc>
        <w:tc>
          <w:tcPr/>
          <w:p>
            <w:pPr>
              <w:pStyle w:val="Compact"/>
              <w:jc w:val="right"/>
            </w:pPr>
            <w:r>
              <w:t xml:space="preserve">52,180</w:t>
            </w:r>
          </w:p>
        </w:tc>
        <w:tc>
          <w:tcPr/>
          <w:p>
            <w:pPr>
              <w:pStyle w:val="Compact"/>
              <w:jc w:val="right"/>
            </w:pPr>
            <w:r>
              <w:t xml:space="preserve">56,370</w:t>
            </w:r>
          </w:p>
        </w:tc>
        <w:tc>
          <w:tcPr/>
          <w:p>
            <w:pPr>
              <w:pStyle w:val="Compact"/>
              <w:jc w:val="right"/>
            </w:pPr>
            <w:r>
              <w:t xml:space="preserve">4,164,780</w:t>
            </w:r>
          </w:p>
        </w:tc>
        <w:tc>
          <w:tcPr/>
          <w:p>
            <w:pPr>
              <w:pStyle w:val="Compact"/>
              <w:jc w:val="right"/>
            </w:pPr>
            <w:r>
              <w:t xml:space="preserve">12,091,400</w:t>
            </w:r>
          </w:p>
        </w:tc>
        <w:tc>
          <w:tcPr/>
          <w:p>
            <w:pPr>
              <w:pStyle w:val="Compact"/>
              <w:jc w:val="right"/>
            </w:pPr>
            <w:r>
              <w:t xml:space="preserve">100.00</w:t>
            </w:r>
          </w:p>
        </w:tc>
      </w:tr>
    </w:tbl>
    <w:p>
      <w:pPr>
        <w:pStyle w:val="BodyText"/>
      </w:pPr>
      <w:r>
        <w:t xml:space="preserve">Figure</w:t>
      </w:r>
      <w:r>
        <w:t xml:space="preserve"> </w:t>
      </w:r>
      <w:r>
        <w:t xml:space="preserve">18</w:t>
      </w:r>
      <w:r>
        <w:t xml:space="preserve"> </w:t>
      </w:r>
      <w:r>
        <w:t xml:space="preserve">presents the yearly CAPEX distribution for this tenant per disciplines.</w:t>
      </w:r>
    </w:p>
    <w:p>
      <w:pPr>
        <w:pStyle w:val="CaptionedFigure"/>
      </w:pPr>
      <w:r>
        <w:drawing>
          <wp:inline>
            <wp:extent cx="5943600" cy="3566160"/>
            <wp:effectExtent b="0" l="0" r="0" t="0"/>
            <wp:docPr descr="Figure 18: Yearly Distribution of CAPEX - Tenant 3" title="" id="1" name="Picture"/>
            <a:graphic>
              <a:graphicData uri="http://schemas.openxmlformats.org/drawingml/2006/picture">
                <pic:pic>
                  <pic:nvPicPr>
                    <pic:cNvPr descr="../visuals/plot014.png" id="0" name="Picture"/>
                    <pic:cNvPicPr>
                      <a:picLocks noChangeArrowheads="1" noChangeAspect="1"/>
                    </pic:cNvPicPr>
                  </pic:nvPicPr>
                  <pic:blipFill>
                    <a:blip r:embed="rId77"/>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18: Yearly Distribution of CAPEX - Tenant 3</w:t>
      </w:r>
    </w:p>
    <w:p>
      <w:pPr>
        <w:pStyle w:val="BodyText"/>
      </w:pPr>
      <w:r>
        <w:t xml:space="preserve">Table</w:t>
      </w:r>
      <w:r>
        <w:t xml:space="preserve"> </w:t>
      </w:r>
      <w:r>
        <w:t xml:space="preserve">22</w:t>
      </w:r>
      <w:r>
        <w:t xml:space="preserve"> </w:t>
      </w:r>
      <w:r>
        <w:t xml:space="preserve">presents a summary of CAPEX items subjected to structural upgrade</w:t>
      </w:r>
    </w:p>
    <w:p>
      <w:pPr>
        <w:pStyle w:val="TableCaption"/>
      </w:pPr>
      <w:r>
        <w:t xml:space="preserve">Table 22: Tenant 3 CAPEX Distribution - Structure</w:t>
      </w:r>
    </w:p>
    <w:tbl>
      <w:tblPr>
        <w:tblStyle w:val="Table"/>
        <w:tblW w:type="pct" w:w="5000"/>
        <w:tblLook w:firstRow="1" w:lastRow="0" w:firstColumn="0" w:lastColumn="0" w:noHBand="0" w:noVBand="0" w:val="0020"/>
        <w:tblCaption w:val="Table 22: Tenant 3 CAPEX Distribution - Structure"/>
      </w:tblPr>
      <w:tblGrid>
        <w:gridCol w:w="2772"/>
        <w:gridCol w:w="2871"/>
        <w:gridCol w:w="1386"/>
        <w:gridCol w:w="891"/>
      </w:tblGrid>
      <w:tr>
        <w:trPr>
          <w:tblHeader w:val="true"/>
        </w:trPr>
        <w:tc>
          <w:tcPr/>
          <w:p>
            <w:pPr>
              <w:pStyle w:val="Compact"/>
              <w:jc w:val="left"/>
            </w:pPr>
            <w:r>
              <w:t xml:space="preserve">CAPEXassets</w:t>
            </w:r>
          </w:p>
        </w:tc>
        <w:tc>
          <w:tcPr/>
          <w:p>
            <w:pPr>
              <w:pStyle w:val="Compact"/>
              <w:jc w:val="left"/>
            </w:pPr>
            <w:r>
              <w:t xml:space="preserve">Facilities</w:t>
            </w:r>
          </w:p>
        </w:tc>
        <w:tc>
          <w:tcPr/>
          <w:p>
            <w:pPr>
              <w:pStyle w:val="Compact"/>
              <w:jc w:val="right"/>
            </w:pPr>
            <w:r>
              <w:t xml:space="preserve">NPVCapexUSD</w:t>
            </w:r>
          </w:p>
        </w:tc>
        <w:tc>
          <w:tcPr/>
          <w:p>
            <w:pPr>
              <w:pStyle w:val="Compact"/>
              <w:jc w:val="right"/>
            </w:pPr>
            <w:r>
              <w:t xml:space="preserve">freq</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Hatch cover Shelter</w:t>
            </w:r>
          </w:p>
        </w:tc>
        <w:tc>
          <w:tcPr/>
          <w:p>
            <w:pPr>
              <w:pStyle w:val="Compact"/>
              <w:jc w:val="right"/>
            </w:pPr>
            <w:r>
              <w:t xml:space="preserve">376,480</w:t>
            </w:r>
          </w:p>
        </w:tc>
        <w:tc>
          <w:tcPr/>
          <w:p>
            <w:pPr>
              <w:pStyle w:val="Compact"/>
              <w:jc w:val="right"/>
            </w:pPr>
            <w:r>
              <w:t xml:space="preserve">36.89</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Dhouse Shelter</w:t>
            </w:r>
          </w:p>
        </w:tc>
        <w:tc>
          <w:tcPr/>
          <w:p>
            <w:pPr>
              <w:pStyle w:val="Compact"/>
              <w:jc w:val="right"/>
            </w:pPr>
            <w:r>
              <w:t xml:space="preserve">297,650</w:t>
            </w:r>
          </w:p>
        </w:tc>
        <w:tc>
          <w:tcPr/>
          <w:p>
            <w:pPr>
              <w:pStyle w:val="Compact"/>
              <w:jc w:val="right"/>
            </w:pPr>
            <w:r>
              <w:t xml:space="preserve">29.16</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T-BHD Shelter</w:t>
            </w:r>
          </w:p>
        </w:tc>
        <w:tc>
          <w:tcPr/>
          <w:p>
            <w:pPr>
              <w:pStyle w:val="Compact"/>
              <w:jc w:val="right"/>
            </w:pPr>
            <w:r>
              <w:t xml:space="preserve">224,120</w:t>
            </w:r>
          </w:p>
        </w:tc>
        <w:tc>
          <w:tcPr/>
          <w:p>
            <w:pPr>
              <w:pStyle w:val="Compact"/>
              <w:jc w:val="right"/>
            </w:pPr>
            <w:r>
              <w:t xml:space="preserve">21.96</w:t>
            </w:r>
          </w:p>
        </w:tc>
      </w:tr>
      <w:tr>
        <w:tc>
          <w:tcPr/>
          <w:p>
            <w:pPr>
              <w:pStyle w:val="Compact"/>
              <w:jc w:val="left"/>
            </w:pPr>
            <w:r>
              <w:t xml:space="preserve">Slope Protection</w:t>
            </w:r>
          </w:p>
        </w:tc>
        <w:tc>
          <w:tcPr/>
          <w:p>
            <w:pPr>
              <w:pStyle w:val="Compact"/>
              <w:jc w:val="left"/>
            </w:pPr>
            <w:r>
              <w:t xml:space="preserve">Slope protection</w:t>
            </w:r>
          </w:p>
        </w:tc>
        <w:tc>
          <w:tcPr/>
          <w:p>
            <w:pPr>
              <w:pStyle w:val="Compact"/>
              <w:jc w:val="right"/>
            </w:pPr>
            <w:r>
              <w:t xml:space="preserve">50,000</w:t>
            </w:r>
          </w:p>
        </w:tc>
        <w:tc>
          <w:tcPr/>
          <w:p>
            <w:pPr>
              <w:pStyle w:val="Compact"/>
              <w:jc w:val="right"/>
            </w:pPr>
            <w:r>
              <w:t xml:space="preserve">4.90</w:t>
            </w:r>
          </w:p>
        </w:tc>
      </w:tr>
      <w:tr>
        <w:tc>
          <w:tcPr/>
          <w:p>
            <w:pPr>
              <w:pStyle w:val="Compact"/>
              <w:jc w:val="left"/>
            </w:pPr>
            <w:r>
              <w:t xml:space="preserve">Upgrade to comply current</w:t>
            </w:r>
            <w:r>
              <w:t xml:space="preserve"> </w:t>
            </w:r>
            <w:r>
              <w:t xml:space="preserve">structural code</w:t>
            </w:r>
          </w:p>
        </w:tc>
        <w:tc>
          <w:tcPr/>
          <w:p>
            <w:pPr>
              <w:pStyle w:val="Compact"/>
              <w:jc w:val="left"/>
            </w:pPr>
            <w:r>
              <w:t xml:space="preserve">Sub-Assembly Shop (94 bay)</w:t>
            </w:r>
          </w:p>
        </w:tc>
        <w:tc>
          <w:tcPr/>
          <w:p>
            <w:pPr>
              <w:pStyle w:val="Compact"/>
              <w:jc w:val="right"/>
            </w:pPr>
            <w:r>
              <w:t xml:space="preserve">42,360</w:t>
            </w:r>
          </w:p>
        </w:tc>
        <w:tc>
          <w:tcPr/>
          <w:p>
            <w:pPr>
              <w:pStyle w:val="Compact"/>
              <w:jc w:val="right"/>
            </w:pPr>
            <w:r>
              <w:t xml:space="preserve">4.15</w:t>
            </w:r>
          </w:p>
        </w:tc>
      </w:tr>
      <w:tr>
        <w:tc>
          <w:tcPr/>
          <w:p>
            <w:pPr>
              <w:pStyle w:val="Compact"/>
              <w:jc w:val="left"/>
            </w:pPr>
            <w:r>
              <w:t xml:space="preserve">Slope Protection</w:t>
            </w:r>
          </w:p>
        </w:tc>
        <w:tc>
          <w:tcPr/>
          <w:p>
            <w:pPr>
              <w:pStyle w:val="Compact"/>
              <w:jc w:val="left"/>
            </w:pPr>
            <w:r>
              <w:t xml:space="preserve">Slope protection</w:t>
            </w:r>
          </w:p>
        </w:tc>
        <w:tc>
          <w:tcPr/>
          <w:p>
            <w:pPr>
              <w:pStyle w:val="Compact"/>
              <w:jc w:val="right"/>
            </w:pPr>
            <w:r>
              <w:t xml:space="preserve">30,000</w:t>
            </w:r>
          </w:p>
        </w:tc>
        <w:tc>
          <w:tcPr/>
          <w:p>
            <w:pPr>
              <w:pStyle w:val="Compact"/>
              <w:jc w:val="right"/>
            </w:pPr>
            <w:r>
              <w:t xml:space="preserve">2.94</w:t>
            </w:r>
          </w:p>
        </w:tc>
      </w:tr>
      <w:tr>
        <w:tc>
          <w:tcPr/>
          <w:p>
            <w:pPr>
              <w:pStyle w:val="Compact"/>
              <w:jc w:val="left"/>
            </w:pPr>
            <w:r>
              <w:t xml:space="preserve">Total</w:t>
            </w:r>
          </w:p>
        </w:tc>
        <w:tc>
          <w:tcPr/>
          <w:p>
            <w:pPr>
              <w:pStyle w:val="Compact"/>
              <w:jc w:val="left"/>
            </w:pPr>
            <w:r>
              <w:t xml:space="preserve">-</w:t>
            </w:r>
          </w:p>
        </w:tc>
        <w:tc>
          <w:tcPr/>
          <w:p>
            <w:pPr>
              <w:pStyle w:val="Compact"/>
              <w:jc w:val="right"/>
            </w:pPr>
            <w:r>
              <w:t xml:space="preserve">1,020,610</w:t>
            </w:r>
          </w:p>
        </w:tc>
        <w:tc>
          <w:tcPr/>
          <w:p>
            <w:pPr>
              <w:pStyle w:val="Compact"/>
              <w:jc w:val="right"/>
            </w:pPr>
            <w:r>
              <w:t xml:space="preserve">100.00</w:t>
            </w:r>
          </w:p>
        </w:tc>
      </w:tr>
    </w:tbl>
    <w:p>
      <w:pPr>
        <w:pStyle w:val="BodyText"/>
      </w:pPr>
      <w:r>
        <w:t xml:space="preserve">Table</w:t>
      </w:r>
      <w:r>
        <w:t xml:space="preserve"> </w:t>
      </w:r>
      <w:r>
        <w:t xml:space="preserve">23</w:t>
      </w:r>
      <w:r>
        <w:t xml:space="preserve"> </w:t>
      </w:r>
      <w:r>
        <w:t xml:space="preserve">presents a summary of CAPEX items subjected to Miscellaneous.</w:t>
      </w:r>
    </w:p>
    <w:p>
      <w:pPr>
        <w:pStyle w:val="TableCaption"/>
      </w:pPr>
      <w:r>
        <w:t xml:space="preserve">Table 23: Tenant 3 CAPEX Distribution - Miscellaneous</w:t>
      </w:r>
    </w:p>
    <w:tbl>
      <w:tblPr>
        <w:tblStyle w:val="Table"/>
        <w:tblW w:type="pct" w:w="5000"/>
        <w:tblLook w:firstRow="1" w:lastRow="0" w:firstColumn="0" w:lastColumn="0" w:noHBand="0" w:noVBand="0" w:val="0020"/>
        <w:tblCaption w:val="Table 23: Tenant 3 CAPEX Distribution - Miscellaneous"/>
      </w:tblPr>
      <w:tblGrid>
        <w:gridCol w:w="2534"/>
        <w:gridCol w:w="950"/>
        <w:gridCol w:w="950"/>
        <w:gridCol w:w="1029"/>
        <w:gridCol w:w="871"/>
        <w:gridCol w:w="792"/>
        <w:gridCol w:w="792"/>
      </w:tblGrid>
      <w:tr>
        <w:trPr>
          <w:tblHeader w:val="true"/>
        </w:trPr>
        <w:tc>
          <w:tcPr/>
          <w:p>
            <w:pPr>
              <w:pStyle w:val="Compact"/>
              <w:jc w:val="left"/>
            </w:pPr>
            <w:r>
              <w:t xml:space="preserve">Facilities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Nagyantok Outfitting Shop A</w:t>
            </w:r>
          </w:p>
        </w:tc>
        <w:tc>
          <w:tcPr/>
          <w:p>
            <w:pPr>
              <w:pStyle w:val="Compact"/>
              <w:jc w:val="right"/>
            </w:pPr>
            <w:r>
              <w:t xml:space="preserve">193,630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193,630</w:t>
            </w:r>
          </w:p>
        </w:tc>
        <w:tc>
          <w:tcPr/>
          <w:p>
            <w:pPr>
              <w:pStyle w:val="Compact"/>
              <w:jc w:val="right"/>
            </w:pPr>
            <w:r>
              <w:t xml:space="preserve">27.80</w:t>
            </w:r>
          </w:p>
        </w:tc>
      </w:tr>
      <w:tr>
        <w:tc>
          <w:tcPr/>
          <w:p>
            <w:pPr>
              <w:pStyle w:val="Compact"/>
              <w:jc w:val="left"/>
            </w:pPr>
            <w:r>
              <w:t xml:space="preserve">Samandra - Maintenance</w:t>
            </w:r>
            <w:r>
              <w:t xml:space="preserve"> </w:t>
            </w:r>
            <w:r>
              <w:t xml:space="preserve">Shop/Office</w:t>
            </w:r>
          </w:p>
        </w:tc>
        <w:tc>
          <w:tcPr/>
          <w:p>
            <w:pPr>
              <w:pStyle w:val="Compact"/>
              <w:jc w:val="right"/>
            </w:pPr>
            <w:r>
              <w:t xml:space="preserve">151,180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151,180</w:t>
            </w:r>
          </w:p>
        </w:tc>
        <w:tc>
          <w:tcPr/>
          <w:p>
            <w:pPr>
              <w:pStyle w:val="Compact"/>
              <w:jc w:val="right"/>
            </w:pPr>
            <w:r>
              <w:t xml:space="preserve">21.70</w:t>
            </w:r>
          </w:p>
        </w:tc>
      </w:tr>
      <w:tr>
        <w:tc>
          <w:tcPr/>
          <w:p>
            <w:pPr>
              <w:pStyle w:val="Compact"/>
              <w:jc w:val="left"/>
            </w:pPr>
            <w:r>
              <w:t xml:space="preserve">Dhouse Shelter</w:t>
            </w:r>
          </w:p>
        </w:tc>
        <w:tc>
          <w:tcPr/>
          <w:p>
            <w:pPr>
              <w:pStyle w:val="Compact"/>
              <w:jc w:val="right"/>
            </w:pPr>
            <w:r>
              <w:t xml:space="preserve">43,870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43,870</w:t>
            </w:r>
          </w:p>
        </w:tc>
        <w:tc>
          <w:tcPr/>
          <w:p>
            <w:pPr>
              <w:pStyle w:val="Compact"/>
              <w:jc w:val="right"/>
            </w:pPr>
            <w:r>
              <w:t xml:space="preserve">6.30</w:t>
            </w:r>
          </w:p>
        </w:tc>
      </w:tr>
      <w:tr>
        <w:tc>
          <w:tcPr/>
          <w:p>
            <w:pPr>
              <w:pStyle w:val="Compact"/>
              <w:jc w:val="left"/>
            </w:pPr>
            <w:r>
              <w:t xml:space="preserve">Nagyantok Stock Room 1</w:t>
            </w:r>
          </w:p>
        </w:tc>
        <w:tc>
          <w:tcPr/>
          <w:p>
            <w:pPr>
              <w:pStyle w:val="Compact"/>
              <w:jc w:val="right"/>
            </w:pPr>
            <w:r>
              <w:t xml:space="preserve">35,300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35,300</w:t>
            </w:r>
          </w:p>
        </w:tc>
        <w:tc>
          <w:tcPr/>
          <w:p>
            <w:pPr>
              <w:pStyle w:val="Compact"/>
              <w:jc w:val="right"/>
            </w:pPr>
            <w:r>
              <w:t xml:space="preserve">5.07</w:t>
            </w:r>
          </w:p>
        </w:tc>
      </w:tr>
      <w:tr>
        <w:tc>
          <w:tcPr/>
          <w:p>
            <w:pPr>
              <w:pStyle w:val="Compact"/>
              <w:jc w:val="left"/>
            </w:pPr>
            <w:r>
              <w:t xml:space="preserve">Nagyantok Stock Room 2</w:t>
            </w:r>
          </w:p>
        </w:tc>
        <w:tc>
          <w:tcPr/>
          <w:p>
            <w:pPr>
              <w:pStyle w:val="Compact"/>
              <w:jc w:val="right"/>
            </w:pPr>
            <w:r>
              <w:t xml:space="preserve">29,420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29,420</w:t>
            </w:r>
          </w:p>
        </w:tc>
        <w:tc>
          <w:tcPr/>
          <w:p>
            <w:pPr>
              <w:pStyle w:val="Compact"/>
              <w:jc w:val="right"/>
            </w:pPr>
            <w:r>
              <w:t xml:space="preserve">4.22</w:t>
            </w:r>
          </w:p>
        </w:tc>
      </w:tr>
      <w:tr>
        <w:tc>
          <w:tcPr/>
          <w:p>
            <w:pPr>
              <w:pStyle w:val="Compact"/>
              <w:jc w:val="left"/>
            </w:pPr>
            <w:r>
              <w:t xml:space="preserve">Hatch cover Shelter</w:t>
            </w:r>
          </w:p>
        </w:tc>
        <w:tc>
          <w:tcPr/>
          <w:p>
            <w:pPr>
              <w:pStyle w:val="Compact"/>
              <w:jc w:val="right"/>
            </w:pPr>
            <w:r>
              <w:t xml:space="preserve">29,400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29,400</w:t>
            </w:r>
          </w:p>
        </w:tc>
        <w:tc>
          <w:tcPr/>
          <w:p>
            <w:pPr>
              <w:pStyle w:val="Compact"/>
              <w:jc w:val="right"/>
            </w:pPr>
            <w:r>
              <w:t xml:space="preserve">4.22</w:t>
            </w:r>
          </w:p>
        </w:tc>
      </w:tr>
      <w:tr>
        <w:tc>
          <w:tcPr/>
          <w:p>
            <w:pPr>
              <w:pStyle w:val="Compact"/>
              <w:jc w:val="left"/>
            </w:pPr>
            <w:r>
              <w:t xml:space="preserve">Nagyantok Segragation Area</w:t>
            </w:r>
          </w:p>
        </w:tc>
        <w:tc>
          <w:tcPr/>
          <w:p>
            <w:pPr>
              <w:pStyle w:val="Compact"/>
              <w:jc w:val="right"/>
            </w:pPr>
            <w:r>
              <w:t xml:space="preserve">24,510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24,510</w:t>
            </w:r>
          </w:p>
        </w:tc>
        <w:tc>
          <w:tcPr/>
          <w:p>
            <w:pPr>
              <w:pStyle w:val="Compact"/>
              <w:jc w:val="right"/>
            </w:pPr>
            <w:r>
              <w:t xml:space="preserve">3.52</w:t>
            </w:r>
          </w:p>
        </w:tc>
      </w:tr>
      <w:tr>
        <w:tc>
          <w:tcPr/>
          <w:p>
            <w:pPr>
              <w:pStyle w:val="Compact"/>
              <w:jc w:val="left"/>
            </w:pPr>
            <w:r>
              <w:t xml:space="preserve">Sub Station #36</w:t>
            </w:r>
          </w:p>
        </w:tc>
        <w:tc>
          <w:tcPr/>
          <w:p>
            <w:pPr>
              <w:pStyle w:val="Compact"/>
              <w:jc w:val="right"/>
            </w:pPr>
            <w:r>
              <w:t xml:space="preserve">23,530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23,530</w:t>
            </w:r>
          </w:p>
        </w:tc>
        <w:tc>
          <w:tcPr/>
          <w:p>
            <w:pPr>
              <w:pStyle w:val="Compact"/>
              <w:jc w:val="right"/>
            </w:pPr>
            <w:r>
              <w:t xml:space="preserve">3.38</w:t>
            </w:r>
          </w:p>
        </w:tc>
      </w:tr>
      <w:tr>
        <w:tc>
          <w:tcPr/>
          <w:p>
            <w:pPr>
              <w:pStyle w:val="Compact"/>
              <w:jc w:val="left"/>
            </w:pPr>
            <w:r>
              <w:t xml:space="preserve">T-BHD Shelter</w:t>
            </w:r>
          </w:p>
        </w:tc>
        <w:tc>
          <w:tcPr/>
          <w:p>
            <w:pPr>
              <w:pStyle w:val="Compact"/>
              <w:jc w:val="right"/>
            </w:pPr>
            <w:r>
              <w:t xml:space="preserve">22,870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22,870</w:t>
            </w:r>
          </w:p>
        </w:tc>
        <w:tc>
          <w:tcPr/>
          <w:p>
            <w:pPr>
              <w:pStyle w:val="Compact"/>
              <w:jc w:val="right"/>
            </w:pPr>
            <w:r>
              <w:t xml:space="preserve">3.28</w:t>
            </w:r>
          </w:p>
        </w:tc>
      </w:tr>
      <w:tr>
        <w:tc>
          <w:tcPr/>
          <w:p>
            <w:pPr>
              <w:pStyle w:val="Compact"/>
              <w:jc w:val="left"/>
            </w:pPr>
            <w:r>
              <w:t xml:space="preserve">Samandra - Container Shop</w:t>
            </w:r>
          </w:p>
        </w:tc>
        <w:tc>
          <w:tcPr/>
          <w:p>
            <w:pPr>
              <w:pStyle w:val="Compact"/>
              <w:jc w:val="right"/>
            </w:pPr>
            <w:r>
              <w:t xml:space="preserve">22,550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22,550</w:t>
            </w:r>
          </w:p>
        </w:tc>
        <w:tc>
          <w:tcPr/>
          <w:p>
            <w:pPr>
              <w:pStyle w:val="Compact"/>
              <w:jc w:val="right"/>
            </w:pPr>
            <w:r>
              <w:t xml:space="preserve">3.24</w:t>
            </w:r>
          </w:p>
        </w:tc>
      </w:tr>
      <w:tr>
        <w:tc>
          <w:tcPr/>
          <w:p>
            <w:pPr>
              <w:pStyle w:val="Compact"/>
              <w:jc w:val="left"/>
            </w:pPr>
            <w:r>
              <w:t xml:space="preserve">Nagyantok Warehouse</w:t>
            </w:r>
          </w:p>
        </w:tc>
        <w:tc>
          <w:tcPr/>
          <w:p>
            <w:pPr>
              <w:pStyle w:val="Compact"/>
              <w:jc w:val="right"/>
            </w:pPr>
            <w:r>
              <w:t xml:space="preserve">22,310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22,310</w:t>
            </w:r>
          </w:p>
        </w:tc>
        <w:tc>
          <w:tcPr/>
          <w:p>
            <w:pPr>
              <w:pStyle w:val="Compact"/>
              <w:jc w:val="right"/>
            </w:pPr>
            <w:r>
              <w:t xml:space="preserve">3.20</w:t>
            </w:r>
          </w:p>
        </w:tc>
      </w:tr>
      <w:tr>
        <w:tc>
          <w:tcPr/>
          <w:p>
            <w:pPr>
              <w:pStyle w:val="Compact"/>
              <w:jc w:val="left"/>
            </w:pPr>
            <w:r>
              <w:t xml:space="preserve">Sub-Assembly Shop (94 bay)</w:t>
            </w:r>
          </w:p>
        </w:tc>
        <w:tc>
          <w:tcPr/>
          <w:p>
            <w:pPr>
              <w:pStyle w:val="Compact"/>
              <w:jc w:val="right"/>
            </w:pPr>
            <w:r>
              <w:t xml:space="preserve">21,350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21,350</w:t>
            </w:r>
          </w:p>
        </w:tc>
        <w:tc>
          <w:tcPr/>
          <w:p>
            <w:pPr>
              <w:pStyle w:val="Compact"/>
              <w:jc w:val="right"/>
            </w:pPr>
            <w:r>
              <w:t xml:space="preserve">3.07</w:t>
            </w:r>
          </w:p>
        </w:tc>
      </w:tr>
      <w:tr>
        <w:tc>
          <w:tcPr/>
          <w:p>
            <w:pPr>
              <w:pStyle w:val="Compact"/>
              <w:jc w:val="left"/>
            </w:pPr>
            <w:r>
              <w:t xml:space="preserve">Nagyantok Procurement Storage</w:t>
            </w:r>
            <w:r>
              <w:t xml:space="preserve"> </w:t>
            </w:r>
            <w:r>
              <w:t xml:space="preserve">shop</w:t>
            </w:r>
          </w:p>
        </w:tc>
        <w:tc>
          <w:tcPr/>
          <w:p>
            <w:pPr>
              <w:pStyle w:val="Compact"/>
              <w:jc w:val="right"/>
            </w:pPr>
            <w:r>
              <w:t xml:space="preserve">20,590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20,590</w:t>
            </w:r>
          </w:p>
        </w:tc>
        <w:tc>
          <w:tcPr/>
          <w:p>
            <w:pPr>
              <w:pStyle w:val="Compact"/>
              <w:jc w:val="right"/>
            </w:pPr>
            <w:r>
              <w:t xml:space="preserve">2.96</w:t>
            </w:r>
          </w:p>
        </w:tc>
      </w:tr>
      <w:tr>
        <w:tc>
          <w:tcPr/>
          <w:p>
            <w:pPr>
              <w:pStyle w:val="Compact"/>
              <w:jc w:val="left"/>
            </w:pPr>
            <w:r>
              <w:t xml:space="preserve">Samandra - Warehouse</w:t>
            </w:r>
          </w:p>
        </w:tc>
        <w:tc>
          <w:tcPr/>
          <w:p>
            <w:pPr>
              <w:pStyle w:val="Compact"/>
              <w:jc w:val="right"/>
            </w:pPr>
            <w:r>
              <w:t xml:space="preserve">16,180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16,180</w:t>
            </w:r>
          </w:p>
        </w:tc>
        <w:tc>
          <w:tcPr/>
          <w:p>
            <w:pPr>
              <w:pStyle w:val="Compact"/>
              <w:jc w:val="right"/>
            </w:pPr>
            <w:r>
              <w:t xml:space="preserve">2.32</w:t>
            </w:r>
          </w:p>
        </w:tc>
      </w:tr>
      <w:tr>
        <w:tc>
          <w:tcPr/>
          <w:p>
            <w:pPr>
              <w:pStyle w:val="Compact"/>
              <w:jc w:val="left"/>
            </w:pPr>
            <w:r>
              <w:t xml:space="preserve">Sub Station #38</w:t>
            </w:r>
          </w:p>
        </w:tc>
        <w:tc>
          <w:tcPr/>
          <w:p>
            <w:pPr>
              <w:pStyle w:val="Compact"/>
              <w:jc w:val="right"/>
            </w:pPr>
            <w:r>
              <w:t xml:space="preserve">15,890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15,890</w:t>
            </w:r>
          </w:p>
        </w:tc>
        <w:tc>
          <w:tcPr/>
          <w:p>
            <w:pPr>
              <w:pStyle w:val="Compact"/>
              <w:jc w:val="right"/>
            </w:pPr>
            <w:r>
              <w:t xml:space="preserve">2.28</w:t>
            </w:r>
          </w:p>
        </w:tc>
      </w:tr>
      <w:tr>
        <w:tc>
          <w:tcPr/>
          <w:p>
            <w:pPr>
              <w:pStyle w:val="Compact"/>
              <w:jc w:val="left"/>
            </w:pPr>
            <w:r>
              <w:t xml:space="preserve">Nagyantok Stock office</w:t>
            </w:r>
          </w:p>
        </w:tc>
        <w:tc>
          <w:tcPr/>
          <w:p>
            <w:pPr>
              <w:pStyle w:val="Compact"/>
              <w:jc w:val="right"/>
            </w:pPr>
            <w:r>
              <w:t xml:space="preserve">5,890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5,890</w:t>
            </w:r>
          </w:p>
        </w:tc>
        <w:tc>
          <w:tcPr/>
          <w:p>
            <w:pPr>
              <w:pStyle w:val="Compact"/>
              <w:jc w:val="right"/>
            </w:pPr>
            <w:r>
              <w:t xml:space="preserve">0.85</w:t>
            </w:r>
          </w:p>
        </w:tc>
      </w:tr>
      <w:tr>
        <w:tc>
          <w:tcPr/>
          <w:p>
            <w:pPr>
              <w:pStyle w:val="Compact"/>
              <w:jc w:val="left"/>
            </w:pPr>
            <w:r>
              <w:t xml:space="preserve">Slope protection</w:t>
            </w:r>
          </w:p>
        </w:tc>
        <w:tc>
          <w:tcPr/>
          <w:p>
            <w:pPr>
              <w:pStyle w:val="Compact"/>
              <w:jc w:val="right"/>
            </w:pPr>
            <w:r>
              <w:t xml:space="preserve">5,000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5,000</w:t>
            </w:r>
          </w:p>
        </w:tc>
        <w:tc>
          <w:tcPr/>
          <w:p>
            <w:pPr>
              <w:pStyle w:val="Compact"/>
              <w:jc w:val="right"/>
            </w:pPr>
            <w:r>
              <w:t xml:space="preserve">0.72</w:t>
            </w:r>
          </w:p>
        </w:tc>
      </w:tr>
      <w:tr>
        <w:tc>
          <w:tcPr/>
          <w:p>
            <w:pPr>
              <w:pStyle w:val="Compact"/>
              <w:jc w:val="left"/>
            </w:pPr>
            <w:r>
              <w:t xml:space="preserve">Nagyantok Material Store and</w:t>
            </w:r>
            <w:r>
              <w:t xml:space="preserve"> </w:t>
            </w:r>
            <w:r>
              <w:t xml:space="preserve">Bond shop</w:t>
            </w:r>
          </w:p>
        </w:tc>
        <w:tc>
          <w:tcPr/>
          <w:p>
            <w:pPr>
              <w:pStyle w:val="Compact"/>
              <w:jc w:val="right"/>
            </w:pPr>
            <w:r>
              <w:t xml:space="preserve">4,910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4,910</w:t>
            </w:r>
          </w:p>
        </w:tc>
        <w:tc>
          <w:tcPr/>
          <w:p>
            <w:pPr>
              <w:pStyle w:val="Compact"/>
              <w:jc w:val="right"/>
            </w:pPr>
            <w:r>
              <w:t xml:space="preserve">0.70</w:t>
            </w:r>
          </w:p>
        </w:tc>
      </w:tr>
      <w:tr>
        <w:tc>
          <w:tcPr/>
          <w:p>
            <w:pPr>
              <w:pStyle w:val="Compact"/>
              <w:jc w:val="left"/>
            </w:pPr>
            <w:r>
              <w:t xml:space="preserve">Samandra - Shop B</w:t>
            </w:r>
          </w:p>
        </w:tc>
        <w:tc>
          <w:tcPr/>
          <w:p>
            <w:pPr>
              <w:pStyle w:val="Compact"/>
              <w:jc w:val="right"/>
            </w:pPr>
            <w:r>
              <w:t xml:space="preserve">4,910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4,910</w:t>
            </w:r>
          </w:p>
        </w:tc>
        <w:tc>
          <w:tcPr/>
          <w:p>
            <w:pPr>
              <w:pStyle w:val="Compact"/>
              <w:jc w:val="right"/>
            </w:pPr>
            <w:r>
              <w:t xml:space="preserve">0.70</w:t>
            </w:r>
          </w:p>
        </w:tc>
      </w:tr>
      <w:tr>
        <w:tc>
          <w:tcPr/>
          <w:p>
            <w:pPr>
              <w:pStyle w:val="Compact"/>
              <w:jc w:val="left"/>
            </w:pPr>
            <w:r>
              <w:t xml:space="preserve">Spill Prevention</w:t>
            </w:r>
            <w:r>
              <w:t xml:space="preserve"> </w:t>
            </w:r>
            <w:r>
              <w:t xml:space="preserve">Kits/Secondary Containment</w:t>
            </w:r>
            <w:r>
              <w:t xml:space="preserve"> </w:t>
            </w:r>
            <w:r>
              <w:t xml:space="preserve">Tenant 3</w:t>
            </w:r>
          </w:p>
        </w:tc>
        <w:tc>
          <w:tcPr/>
          <w:p>
            <w:pPr>
              <w:pStyle w:val="Compact"/>
              <w:jc w:val="right"/>
            </w:pPr>
            <w:r>
              <w:t xml:space="preserve">3,260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3,260</w:t>
            </w:r>
          </w:p>
        </w:tc>
        <w:tc>
          <w:tcPr/>
          <w:p>
            <w:pPr>
              <w:pStyle w:val="Compact"/>
              <w:jc w:val="right"/>
            </w:pPr>
            <w:r>
              <w:t xml:space="preserve">0.47</w:t>
            </w:r>
          </w:p>
        </w:tc>
      </w:tr>
      <w:tr>
        <w:tc>
          <w:tcPr/>
          <w:p>
            <w:pPr>
              <w:pStyle w:val="Compact"/>
              <w:jc w:val="left"/>
            </w:pPr>
            <w:r>
              <w:t xml:space="preserve">Total</w:t>
            </w:r>
          </w:p>
        </w:tc>
        <w:tc>
          <w:tcPr/>
          <w:p>
            <w:pPr>
              <w:pStyle w:val="Compact"/>
              <w:jc w:val="right"/>
            </w:pPr>
            <w:r>
              <w:t xml:space="preserve">696,550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696,550</w:t>
            </w:r>
          </w:p>
        </w:tc>
        <w:tc>
          <w:tcPr/>
          <w:p>
            <w:pPr>
              <w:pStyle w:val="Compact"/>
              <w:jc w:val="right"/>
            </w:pPr>
            <w:r>
              <w:t xml:space="preserve">100.00</w:t>
            </w:r>
          </w:p>
        </w:tc>
      </w:tr>
    </w:tbl>
    <w:bookmarkEnd w:id="78"/>
    <w:bookmarkStart w:id="79" w:name="shared-facilities-2"/>
    <w:p>
      <w:pPr>
        <w:pStyle w:val="Heading2"/>
      </w:pPr>
      <w:r>
        <w:t xml:space="preserve">Shared Facilities</w:t>
      </w:r>
    </w:p>
    <w:p>
      <w:pPr>
        <w:pStyle w:val="FirstParagraph"/>
      </w:pPr>
      <w:r>
        <w:t xml:space="preserve">The distribution of CAPEX under shared facilities is presented in the Table</w:t>
      </w:r>
      <w:r>
        <w:t xml:space="preserve"> </w:t>
      </w:r>
      <w:r>
        <w:t xml:space="preserve">24</w:t>
      </w:r>
      <w:r>
        <w:t xml:space="preserve">.</w:t>
      </w:r>
    </w:p>
    <w:p>
      <w:pPr>
        <w:pStyle w:val="TableCaption"/>
      </w:pPr>
      <w:r>
        <w:t xml:space="preserve">Table 24: Shared facilities CAPEX Distribution</w:t>
      </w:r>
    </w:p>
    <w:tbl>
      <w:tblPr>
        <w:tblStyle w:val="Table"/>
        <w:tblW w:type="pct" w:w="5000"/>
        <w:tblLook w:firstRow="1" w:lastRow="0" w:firstColumn="0" w:lastColumn="0" w:noHBand="0" w:noVBand="0" w:val="0020"/>
        <w:tblCaption w:val="Table 24: Shared facilities CAPEX Distribution"/>
      </w:tblPr>
      <w:tblGrid>
        <w:gridCol w:w="1440"/>
        <w:gridCol w:w="1080"/>
        <w:gridCol w:w="1080"/>
        <w:gridCol w:w="1170"/>
        <w:gridCol w:w="990"/>
        <w:gridCol w:w="1080"/>
        <w:gridCol w:w="1080"/>
      </w:tblGrid>
      <w:tr>
        <w:trPr>
          <w:tblHeader w:val="true"/>
        </w:trPr>
        <w:tc>
          <w:tcPr/>
          <w:p>
            <w:pPr>
              <w:pStyle w:val="Compact"/>
              <w:jc w:val="left"/>
            </w:pPr>
            <w:r>
              <w:t xml:space="preserve">Disciplines</w:t>
            </w:r>
          </w:p>
        </w:tc>
        <w:tc>
          <w:tcPr/>
          <w:p>
            <w:pPr>
              <w:pStyle w:val="Compact"/>
              <w:jc w:val="right"/>
            </w:pPr>
            <w:r>
              <w:t xml:space="preserve">immediate</w:t>
            </w:r>
          </w:p>
        </w:tc>
        <w:tc>
          <w:tcPr/>
          <w:p>
            <w:pPr>
              <w:pStyle w:val="Compact"/>
              <w:jc w:val="right"/>
            </w:pPr>
            <w:r>
              <w:t xml:space="preserve">shortterm</w:t>
            </w:r>
          </w:p>
        </w:tc>
        <w:tc>
          <w:tcPr/>
          <w:p>
            <w:pPr>
              <w:pStyle w:val="Compact"/>
              <w:jc w:val="right"/>
            </w:pPr>
            <w:r>
              <w:t xml:space="preserve">mediumterm</w:t>
            </w:r>
          </w:p>
        </w:tc>
        <w:tc>
          <w:tcPr/>
          <w:p>
            <w:pPr>
              <w:pStyle w:val="Compact"/>
              <w:jc w:val="right"/>
            </w:pPr>
            <w:r>
              <w:t xml:space="preserve">longterm</w:t>
            </w:r>
          </w:p>
        </w:tc>
        <w:tc>
          <w:tcPr/>
          <w:p>
            <w:pPr>
              <w:pStyle w:val="Compact"/>
              <w:jc w:val="right"/>
            </w:pPr>
            <w:r>
              <w:t xml:space="preserve">CAPEX</w:t>
            </w:r>
          </w:p>
        </w:tc>
        <w:tc>
          <w:tcPr/>
          <w:p>
            <w:pPr>
              <w:pStyle w:val="Compact"/>
              <w:jc w:val="right"/>
            </w:pPr>
            <w:r>
              <w:t xml:space="preserve">freq</w:t>
            </w:r>
          </w:p>
        </w:tc>
      </w:tr>
      <w:tr>
        <w:tc>
          <w:tcPr/>
          <w:p>
            <w:pPr>
              <w:pStyle w:val="Compact"/>
              <w:jc w:val="left"/>
            </w:pPr>
            <w:r>
              <w:t xml:space="preserve">Civil</w:t>
            </w:r>
          </w:p>
        </w:tc>
        <w:tc>
          <w:tcPr/>
          <w:p>
            <w:pPr>
              <w:pStyle w:val="Compact"/>
              <w:jc w:val="right"/>
            </w:pPr>
            <w:r>
              <w:t xml:space="preserve">5,652,030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5,652,030</w:t>
            </w:r>
          </w:p>
        </w:tc>
        <w:tc>
          <w:tcPr/>
          <w:p>
            <w:pPr>
              <w:pStyle w:val="Compact"/>
              <w:jc w:val="right"/>
            </w:pPr>
            <w:r>
              <w:t xml:space="preserve">75.0713</w:t>
            </w:r>
          </w:p>
        </w:tc>
      </w:tr>
      <w:tr>
        <w:tc>
          <w:tcPr/>
          <w:p>
            <w:pPr>
              <w:pStyle w:val="Compact"/>
              <w:jc w:val="left"/>
            </w:pPr>
            <w:r>
              <w:t xml:space="preserve">Soft Cost</w:t>
            </w:r>
          </w:p>
        </w:tc>
        <w:tc>
          <w:tcPr/>
          <w:p>
            <w:pPr>
              <w:pStyle w:val="Compact"/>
              <w:jc w:val="right"/>
            </w:pPr>
            <w:r>
              <w:t xml:space="preserve">1,573,270</w:t>
            </w:r>
          </w:p>
        </w:tc>
        <w:tc>
          <w:tcPr/>
          <w:p>
            <w:pPr>
              <w:pStyle w:val="Compact"/>
              <w:jc w:val="right"/>
            </w:pPr>
            <w:r>
              <w:t xml:space="preserve">9,300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1,582,570</w:t>
            </w:r>
          </w:p>
        </w:tc>
        <w:tc>
          <w:tcPr/>
          <w:p>
            <w:pPr>
              <w:pStyle w:val="Compact"/>
              <w:jc w:val="right"/>
            </w:pPr>
            <w:r>
              <w:t xml:space="preserve">21.0200</w:t>
            </w:r>
          </w:p>
        </w:tc>
      </w:tr>
      <w:tr>
        <w:tc>
          <w:tcPr/>
          <w:p>
            <w:pPr>
              <w:pStyle w:val="Compact"/>
              <w:jc w:val="left"/>
            </w:pPr>
            <w:r>
              <w:t xml:space="preserve">Miscellaneous</w:t>
            </w:r>
          </w:p>
        </w:tc>
        <w:tc>
          <w:tcPr/>
          <w:p>
            <w:pPr>
              <w:pStyle w:val="Compact"/>
              <w:jc w:val="right"/>
            </w:pPr>
            <w:r>
              <w:t xml:space="preserve">69,740</w:t>
            </w:r>
          </w:p>
        </w:tc>
        <w:tc>
          <w:tcPr/>
          <w:p>
            <w:pPr>
              <w:pStyle w:val="Compact"/>
              <w:jc w:val="right"/>
            </w:pPr>
            <w:r>
              <w:t xml:space="preserve">34,320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104,060</w:t>
            </w:r>
          </w:p>
        </w:tc>
        <w:tc>
          <w:tcPr/>
          <w:p>
            <w:pPr>
              <w:pStyle w:val="Compact"/>
              <w:jc w:val="right"/>
            </w:pPr>
            <w:r>
              <w:t xml:space="preserve">1.3821</w:t>
            </w:r>
          </w:p>
        </w:tc>
      </w:tr>
      <w:tr>
        <w:tc>
          <w:tcPr/>
          <w:p>
            <w:pPr>
              <w:pStyle w:val="Compact"/>
              <w:jc w:val="left"/>
            </w:pPr>
            <w:r>
              <w:t xml:space="preserve">Structural</w:t>
            </w:r>
          </w:p>
        </w:tc>
        <w:tc>
          <w:tcPr/>
          <w:p>
            <w:pPr>
              <w:pStyle w:val="Compact"/>
              <w:jc w:val="right"/>
            </w:pPr>
            <w:r>
              <w:t xml:space="preserve">88,980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88,980</w:t>
            </w:r>
          </w:p>
        </w:tc>
        <w:tc>
          <w:tcPr/>
          <w:p>
            <w:pPr>
              <w:pStyle w:val="Compact"/>
              <w:jc w:val="right"/>
            </w:pPr>
            <w:r>
              <w:t xml:space="preserve">1.1818</w:t>
            </w:r>
          </w:p>
        </w:tc>
      </w:tr>
      <w:tr>
        <w:tc>
          <w:tcPr/>
          <w:p>
            <w:pPr>
              <w:pStyle w:val="Compact"/>
              <w:jc w:val="left"/>
            </w:pPr>
            <w:r>
              <w:t xml:space="preserve">Roof</w:t>
            </w:r>
          </w:p>
        </w:tc>
        <w:tc>
          <w:tcPr/>
          <w:p>
            <w:pPr>
              <w:pStyle w:val="Compact"/>
              <w:jc w:val="right"/>
            </w:pPr>
            <w:r>
              <w:t xml:space="preserve">53,930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53,930</w:t>
            </w:r>
          </w:p>
        </w:tc>
        <w:tc>
          <w:tcPr/>
          <w:p>
            <w:pPr>
              <w:pStyle w:val="Compact"/>
              <w:jc w:val="right"/>
            </w:pPr>
            <w:r>
              <w:t xml:space="preserve">0.7163</w:t>
            </w:r>
          </w:p>
        </w:tc>
      </w:tr>
      <w:tr>
        <w:tc>
          <w:tcPr/>
          <w:p>
            <w:pPr>
              <w:pStyle w:val="Compact"/>
              <w:jc w:val="left"/>
            </w:pPr>
            <w:r>
              <w:t xml:space="preserve">Electrical</w:t>
            </w:r>
          </w:p>
        </w:tc>
        <w:tc>
          <w:tcPr/>
          <w:p>
            <w:pPr>
              <w:pStyle w:val="Compact"/>
              <w:jc w:val="right"/>
            </w:pPr>
            <w:r>
              <w:t xml:space="preserve">29,500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1,610</w:t>
            </w:r>
          </w:p>
        </w:tc>
        <w:tc>
          <w:tcPr/>
          <w:p>
            <w:pPr>
              <w:pStyle w:val="Compact"/>
              <w:jc w:val="right"/>
            </w:pPr>
            <w:r>
              <w:t xml:space="preserve">31,110</w:t>
            </w:r>
          </w:p>
        </w:tc>
        <w:tc>
          <w:tcPr/>
          <w:p>
            <w:pPr>
              <w:pStyle w:val="Compact"/>
              <w:jc w:val="right"/>
            </w:pPr>
            <w:r>
              <w:t xml:space="preserve">0.4132</w:t>
            </w:r>
          </w:p>
        </w:tc>
      </w:tr>
      <w:tr>
        <w:tc>
          <w:tcPr/>
          <w:p>
            <w:pPr>
              <w:pStyle w:val="Compact"/>
              <w:jc w:val="left"/>
            </w:pPr>
            <w:r>
              <w:t xml:space="preserve">Architectural</w:t>
            </w:r>
          </w:p>
        </w:tc>
        <w:tc>
          <w:tcPr/>
          <w:p>
            <w:pPr>
              <w:pStyle w:val="Compact"/>
              <w:jc w:val="right"/>
            </w:pPr>
            <w:r>
              <w:t xml:space="preserve">5,400</w:t>
            </w:r>
          </w:p>
        </w:tc>
        <w:tc>
          <w:tcPr/>
          <w:p>
            <w:pPr>
              <w:pStyle w:val="Compact"/>
              <w:jc w:val="right"/>
            </w:pPr>
            <w:r>
              <w:t xml:space="preserve">0</w:t>
            </w:r>
          </w:p>
        </w:tc>
        <w:tc>
          <w:tcPr/>
          <w:p>
            <w:pPr>
              <w:pStyle w:val="Compact"/>
              <w:jc w:val="right"/>
            </w:pPr>
            <w:r>
              <w:t xml:space="preserve">5,400</w:t>
            </w:r>
          </w:p>
        </w:tc>
        <w:tc>
          <w:tcPr/>
          <w:p>
            <w:pPr>
              <w:pStyle w:val="Compact"/>
              <w:jc w:val="right"/>
            </w:pPr>
            <w:r>
              <w:t xml:space="preserve">5,400</w:t>
            </w:r>
          </w:p>
        </w:tc>
        <w:tc>
          <w:tcPr/>
          <w:p>
            <w:pPr>
              <w:pStyle w:val="Compact"/>
              <w:jc w:val="right"/>
            </w:pPr>
            <w:r>
              <w:t xml:space="preserve">16,200</w:t>
            </w:r>
          </w:p>
        </w:tc>
        <w:tc>
          <w:tcPr/>
          <w:p>
            <w:pPr>
              <w:pStyle w:val="Compact"/>
              <w:jc w:val="right"/>
            </w:pPr>
            <w:r>
              <w:t xml:space="preserve">0.2152</w:t>
            </w:r>
          </w:p>
        </w:tc>
      </w:tr>
      <w:tr>
        <w:tc>
          <w:tcPr/>
          <w:p>
            <w:pPr>
              <w:pStyle w:val="Compact"/>
              <w:jc w:val="left"/>
            </w:pPr>
            <w:r>
              <w:t xml:space="preserve">Total</w:t>
            </w:r>
          </w:p>
        </w:tc>
        <w:tc>
          <w:tcPr/>
          <w:p>
            <w:pPr>
              <w:pStyle w:val="Compact"/>
              <w:jc w:val="right"/>
            </w:pPr>
            <w:r>
              <w:t xml:space="preserve">7,472,850</w:t>
            </w:r>
          </w:p>
        </w:tc>
        <w:tc>
          <w:tcPr/>
          <w:p>
            <w:pPr>
              <w:pStyle w:val="Compact"/>
              <w:jc w:val="right"/>
            </w:pPr>
            <w:r>
              <w:t xml:space="preserve">43,620</w:t>
            </w:r>
          </w:p>
        </w:tc>
        <w:tc>
          <w:tcPr/>
          <w:p>
            <w:pPr>
              <w:pStyle w:val="Compact"/>
              <w:jc w:val="right"/>
            </w:pPr>
            <w:r>
              <w:t xml:space="preserve">5,400</w:t>
            </w:r>
          </w:p>
        </w:tc>
        <w:tc>
          <w:tcPr/>
          <w:p>
            <w:pPr>
              <w:pStyle w:val="Compact"/>
              <w:jc w:val="right"/>
            </w:pPr>
            <w:r>
              <w:t xml:space="preserve">7,010</w:t>
            </w:r>
          </w:p>
        </w:tc>
        <w:tc>
          <w:tcPr/>
          <w:p>
            <w:pPr>
              <w:pStyle w:val="Compact"/>
              <w:jc w:val="right"/>
            </w:pPr>
            <w:r>
              <w:t xml:space="preserve">7,528,880</w:t>
            </w:r>
          </w:p>
        </w:tc>
        <w:tc>
          <w:tcPr/>
          <w:p>
            <w:pPr>
              <w:pStyle w:val="Compact"/>
              <w:jc w:val="right"/>
            </w:pPr>
            <w:r>
              <w:t xml:space="preserve">100.0000</w:t>
            </w:r>
          </w:p>
        </w:tc>
      </w:tr>
    </w:tbl>
    <w:p>
      <w:pPr>
        <w:pStyle w:val="BodyText"/>
      </w:pPr>
      <w:r>
        <w:t xml:space="preserve">As can be seen from the table, the majority of the cost under shared facilities is allocated under Civil work, which mainly includes the fencing. Table</w:t>
      </w:r>
      <w:r>
        <w:t xml:space="preserve"> </w:t>
      </w:r>
      <w:r>
        <w:t xml:space="preserve">25</w:t>
      </w:r>
      <w:r>
        <w:t xml:space="preserve"> </w:t>
      </w:r>
      <w:r>
        <w:t xml:space="preserve">presents a summary of CAPEX items subjected to Civil Works.</w:t>
      </w:r>
    </w:p>
    <w:p>
      <w:pPr>
        <w:pStyle w:val="TableCaption"/>
      </w:pPr>
      <w:r>
        <w:t xml:space="preserve">Table 25: Shared Facilities CAPEX Distribution - Civil Works</w:t>
      </w:r>
    </w:p>
    <w:tbl>
      <w:tblPr>
        <w:tblStyle w:val="Table"/>
        <w:tblW w:type="pct" w:w="5000"/>
        <w:tblLook w:firstRow="1" w:lastRow="0" w:firstColumn="0" w:lastColumn="0" w:noHBand="0" w:noVBand="0" w:val="0020"/>
        <w:tblCaption w:val="Table 25: Shared Facilities CAPEX Distribution - Civil Works"/>
      </w:tblPr>
      <w:tblGrid>
        <w:gridCol w:w="2469"/>
        <w:gridCol w:w="1192"/>
        <w:gridCol w:w="2299"/>
        <w:gridCol w:w="1192"/>
        <w:gridCol w:w="766"/>
      </w:tblGrid>
      <w:tr>
        <w:trPr>
          <w:tblHeader w:val="true"/>
        </w:trPr>
        <w:tc>
          <w:tcPr/>
          <w:p>
            <w:pPr>
              <w:pStyle w:val="Compact"/>
              <w:jc w:val="left"/>
            </w:pPr>
            <w:r>
              <w:t xml:space="preserve">CAPEXassets</w:t>
            </w:r>
          </w:p>
        </w:tc>
        <w:tc>
          <w:tcPr/>
          <w:p>
            <w:pPr>
              <w:pStyle w:val="Compact"/>
              <w:jc w:val="left"/>
            </w:pPr>
            <w:r>
              <w:t xml:space="preserve">Disciplines</w:t>
            </w:r>
          </w:p>
        </w:tc>
        <w:tc>
          <w:tcPr/>
          <w:p>
            <w:pPr>
              <w:pStyle w:val="Compact"/>
              <w:jc w:val="left"/>
            </w:pPr>
            <w:r>
              <w:t xml:space="preserve">Facilities</w:t>
            </w:r>
          </w:p>
        </w:tc>
        <w:tc>
          <w:tcPr/>
          <w:p>
            <w:pPr>
              <w:pStyle w:val="Compact"/>
              <w:jc w:val="right"/>
            </w:pPr>
            <w:r>
              <w:t xml:space="preserve">NPVCapexUSD</w:t>
            </w:r>
          </w:p>
        </w:tc>
        <w:tc>
          <w:tcPr/>
          <w:p>
            <w:pPr>
              <w:pStyle w:val="Compact"/>
              <w:jc w:val="right"/>
            </w:pPr>
            <w:r>
              <w:t xml:space="preserve">freq</w:t>
            </w:r>
          </w:p>
        </w:tc>
      </w:tr>
      <w:tr>
        <w:tc>
          <w:tcPr/>
          <w:p>
            <w:pPr>
              <w:pStyle w:val="Compact"/>
              <w:jc w:val="left"/>
            </w:pPr>
            <w:r>
              <w:t xml:space="preserve">Shared Utilities - Fence</w:t>
            </w:r>
          </w:p>
        </w:tc>
        <w:tc>
          <w:tcPr/>
          <w:p>
            <w:pPr>
              <w:pStyle w:val="Compact"/>
              <w:jc w:val="left"/>
            </w:pPr>
            <w:r>
              <w:t xml:space="preserve">Civil</w:t>
            </w:r>
          </w:p>
        </w:tc>
        <w:tc>
          <w:tcPr/>
          <w:p>
            <w:pPr>
              <w:pStyle w:val="Compact"/>
              <w:jc w:val="left"/>
            </w:pPr>
            <w:r>
              <w:t xml:space="preserve">Shared Utilities - Fence</w:t>
            </w:r>
          </w:p>
        </w:tc>
        <w:tc>
          <w:tcPr/>
          <w:p>
            <w:pPr>
              <w:pStyle w:val="Compact"/>
              <w:jc w:val="right"/>
            </w:pPr>
            <w:r>
              <w:t xml:space="preserve">5,352,950</w:t>
            </w:r>
          </w:p>
        </w:tc>
        <w:tc>
          <w:tcPr/>
          <w:p>
            <w:pPr>
              <w:pStyle w:val="Compact"/>
              <w:jc w:val="right"/>
            </w:pPr>
            <w:r>
              <w:t xml:space="preserve">94.71</w:t>
            </w:r>
          </w:p>
        </w:tc>
      </w:tr>
      <w:tr>
        <w:tc>
          <w:tcPr/>
          <w:p>
            <w:pPr>
              <w:pStyle w:val="Compact"/>
              <w:jc w:val="left"/>
            </w:pPr>
            <w:r>
              <w:t xml:space="preserve">Upgrade to comply DAO 2016</w:t>
            </w:r>
          </w:p>
        </w:tc>
        <w:tc>
          <w:tcPr/>
          <w:p>
            <w:pPr>
              <w:pStyle w:val="Compact"/>
              <w:jc w:val="left"/>
            </w:pPr>
            <w:r>
              <w:t xml:space="preserve">Civil</w:t>
            </w:r>
          </w:p>
        </w:tc>
        <w:tc>
          <w:tcPr/>
          <w:p>
            <w:pPr>
              <w:pStyle w:val="Compact"/>
              <w:jc w:val="left"/>
            </w:pPr>
            <w:r>
              <w:t xml:space="preserve">Sewage Treatment Plant</w:t>
            </w:r>
          </w:p>
        </w:tc>
        <w:tc>
          <w:tcPr/>
          <w:p>
            <w:pPr>
              <w:pStyle w:val="Compact"/>
              <w:jc w:val="right"/>
            </w:pPr>
            <w:r>
              <w:t xml:space="preserve">196,080</w:t>
            </w:r>
          </w:p>
        </w:tc>
        <w:tc>
          <w:tcPr/>
          <w:p>
            <w:pPr>
              <w:pStyle w:val="Compact"/>
              <w:jc w:val="right"/>
            </w:pPr>
            <w:r>
              <w:t xml:space="preserve">3.47</w:t>
            </w:r>
          </w:p>
        </w:tc>
      </w:tr>
      <w:tr>
        <w:tc>
          <w:tcPr/>
          <w:p>
            <w:pPr>
              <w:pStyle w:val="Compact"/>
              <w:jc w:val="left"/>
            </w:pPr>
            <w:r>
              <w:t xml:space="preserve">Shared Utilities - Water</w:t>
            </w:r>
          </w:p>
        </w:tc>
        <w:tc>
          <w:tcPr/>
          <w:p>
            <w:pPr>
              <w:pStyle w:val="Compact"/>
              <w:jc w:val="left"/>
            </w:pPr>
            <w:r>
              <w:t xml:space="preserve">Civil</w:t>
            </w:r>
          </w:p>
        </w:tc>
        <w:tc>
          <w:tcPr/>
          <w:p>
            <w:pPr>
              <w:pStyle w:val="Compact"/>
              <w:jc w:val="left"/>
            </w:pPr>
            <w:r>
              <w:t xml:space="preserve">Shared Utilities - Water</w:t>
            </w:r>
          </w:p>
        </w:tc>
        <w:tc>
          <w:tcPr/>
          <w:p>
            <w:pPr>
              <w:pStyle w:val="Compact"/>
              <w:jc w:val="right"/>
            </w:pPr>
            <w:r>
              <w:t xml:space="preserve">103,000</w:t>
            </w:r>
          </w:p>
        </w:tc>
        <w:tc>
          <w:tcPr/>
          <w:p>
            <w:pPr>
              <w:pStyle w:val="Compact"/>
              <w:jc w:val="right"/>
            </w:pPr>
            <w:r>
              <w:t xml:space="preserve">1.82</w:t>
            </w:r>
          </w:p>
        </w:tc>
      </w:tr>
      <w:tr>
        <w:tc>
          <w:tcPr/>
          <w:p>
            <w:pPr>
              <w:pStyle w:val="Compact"/>
              <w:jc w:val="left"/>
            </w:pPr>
            <w:r>
              <w:t xml:space="preserve">Total</w:t>
            </w:r>
          </w:p>
        </w:tc>
        <w:tc>
          <w:tcPr/>
          <w:p>
            <w:pPr>
              <w:pStyle w:val="Compact"/>
              <w:jc w:val="left"/>
            </w:pPr>
            <w:r>
              <w:t xml:space="preserve">-</w:t>
            </w:r>
          </w:p>
        </w:tc>
        <w:tc>
          <w:tcPr/>
          <w:p>
            <w:pPr>
              <w:pStyle w:val="Compact"/>
              <w:jc w:val="left"/>
            </w:pPr>
            <w:r>
              <w:t xml:space="preserve">-</w:t>
            </w:r>
          </w:p>
        </w:tc>
        <w:tc>
          <w:tcPr/>
          <w:p>
            <w:pPr>
              <w:pStyle w:val="Compact"/>
              <w:jc w:val="right"/>
            </w:pPr>
            <w:r>
              <w:t xml:space="preserve">5,652,030</w:t>
            </w:r>
          </w:p>
        </w:tc>
        <w:tc>
          <w:tcPr/>
          <w:p>
            <w:pPr>
              <w:pStyle w:val="Compact"/>
              <w:jc w:val="right"/>
            </w:pPr>
            <w:r>
              <w:t xml:space="preserve">100.00</w:t>
            </w:r>
          </w:p>
        </w:tc>
      </w:tr>
    </w:tbl>
    <w:bookmarkEnd w:id="79"/>
    <w:bookmarkEnd w:id="80"/>
    <w:bookmarkStart w:id="83" w:name="discussion-on-opex"/>
    <w:p>
      <w:pPr>
        <w:pStyle w:val="Heading1"/>
      </w:pPr>
      <w:r>
        <w:t xml:space="preserve">Discussion on OPEX</w:t>
      </w:r>
    </w:p>
    <w:p>
      <w:pPr>
        <w:pStyle w:val="FirstParagraph"/>
      </w:pPr>
      <w:r>
        <w:t xml:space="preserve">Per request of the Client, Arcadis has been working on high level OPEX estimation for several assets of the Shipyard, mainly on Water and Wastewater, Power consumptions.</w:t>
      </w:r>
    </w:p>
    <w:p>
      <w:pPr>
        <w:pStyle w:val="BodyText"/>
      </w:pPr>
      <w:r>
        <w:t xml:space="preserve">Various online discussions have been initiated to provide Client better understanding of local requirements on labor and human resource requirements for operation and maintenance. Discussion with managers and staff of the Shipyard has also been carried out to understand the past requirements.</w:t>
      </w:r>
    </w:p>
    <w:p>
      <w:pPr>
        <w:pStyle w:val="BodyText"/>
      </w:pPr>
      <w:r>
        <w:t xml:space="preserve">This section briefly provides a short narrative on a certain number of components associated with OPEX of some certain facilities, but not entirely the OPEX of the shipyard as a complete OPEX of the shipyard should be done as an separated execise that involves economic modelling and cash flow analysis based on assumed production and operation of specific tenants. This has been in agreement with the Client.</w:t>
      </w:r>
    </w:p>
    <w:p>
      <w:pPr>
        <w:pStyle w:val="BodyText"/>
      </w:pPr>
      <w:r>
        <w:t xml:space="preserve">As a matter of practice, ballpark estimate for OPEX is often formulated based on the percentage (%) of CAPEX that spreads over the expected end of life of particular assets. Thus, in order to estimate the OPEX, it is necesaary to estimate the ballpark value of CAPEX.</w:t>
      </w:r>
    </w:p>
    <w:p>
      <w:pPr>
        <w:pStyle w:val="BodyText"/>
      </w:pPr>
      <w:r>
        <w:t xml:space="preserve">For example, pavement sections in the shipyard might have been designed with different thickness for different purposes. This results in different OPEX annualy per square meter for different road sections. Similarly, annualy OPEX of pumps and GENSET should also be different, depending on how big or small the assets are and on the criticality of assets as well.</w:t>
      </w:r>
    </w:p>
    <w:bookmarkStart w:id="82" w:name="opex-on-water-and-wastewater-plants"/>
    <w:p>
      <w:pPr>
        <w:pStyle w:val="Heading2"/>
      </w:pPr>
      <w:r>
        <w:t xml:space="preserve">OPEX on Water and Wastewater Plants</w:t>
      </w:r>
    </w:p>
    <w:p>
      <w:pPr>
        <w:pStyle w:val="FirstParagraph"/>
      </w:pPr>
      <w:r>
        <w:t xml:space="preserve">It is a fact that no official and historical records of OPEX of the Shipyard has been transmitted to Arcadis for this analysis. Data collected was mainly by telephone calls and benchmark data of major water supply companies in the Philippines. Thus, the data provided here on OPEX should be read as only for references.</w:t>
      </w:r>
    </w:p>
    <w:p>
      <w:pPr>
        <w:pStyle w:val="BodyText"/>
      </w:pPr>
      <w:r>
        <w:t xml:space="preserve">Table @ref{tab:opex1} presents benchmark values of OPEX. The values are reference values from major water and waste water companies and projects in the Philippines.</w:t>
      </w:r>
    </w:p>
    <w:p>
      <w:pPr>
        <w:pStyle w:val="TableCaption"/>
      </w:pPr>
      <w:r>
        <w:t xml:space="preserve">Table 26: Water and Wastewater OPEX benchmark</w:t>
      </w:r>
    </w:p>
    <w:tbl>
      <w:tblPr>
        <w:tblStyle w:val="Table"/>
        <w:tblW w:type="pct" w:w="4236"/>
        <w:tblLook w:firstRow="1" w:lastRow="0" w:firstColumn="0" w:lastColumn="0" w:noHBand="0" w:noVBand="0" w:val="0020"/>
        <w:tblCaption w:val="Table 26: Water and Wastewater OPEX benchmark"/>
      </w:tblPr>
      <w:tblGrid>
        <w:gridCol w:w="3410"/>
        <w:gridCol w:w="1650"/>
        <w:gridCol w:w="1650"/>
      </w:tblGrid>
      <w:tr>
        <w:trPr>
          <w:tblHeader w:val="true"/>
        </w:trPr>
        <w:tc>
          <w:tcPr/>
          <w:p>
            <w:pPr>
              <w:pStyle w:val="Compact"/>
              <w:jc w:val="left"/>
            </w:pPr>
            <w:r>
              <w:t xml:space="preserve">Items</w:t>
            </w:r>
          </w:p>
        </w:tc>
        <w:tc>
          <w:tcPr/>
          <w:p>
            <w:pPr>
              <w:pStyle w:val="Compact"/>
              <w:jc w:val="left"/>
            </w:pPr>
            <w:r>
              <w:t xml:space="preserve">(Php/m3/day)</w:t>
            </w:r>
          </w:p>
        </w:tc>
        <w:tc>
          <w:tcPr/>
          <w:p>
            <w:pPr>
              <w:pStyle w:val="Compact"/>
              <w:jc w:val="left"/>
            </w:pPr>
            <w:r>
              <w:t xml:space="preserve">(USD/m3/day)</w:t>
            </w:r>
          </w:p>
        </w:tc>
      </w:tr>
      <w:tr>
        <w:tc>
          <w:tcPr/>
          <w:p>
            <w:pPr>
              <w:pStyle w:val="Compact"/>
              <w:jc w:val="left"/>
            </w:pPr>
            <w:r>
              <w:t xml:space="preserve">Water Treatment Plant (WTP)</w:t>
            </w:r>
          </w:p>
        </w:tc>
        <w:tc>
          <w:tcPr/>
          <w:p>
            <w:pPr>
              <w:pStyle w:val="Compact"/>
              <w:jc w:val="left"/>
            </w:pPr>
            <w:r>
              <w:t xml:space="preserve">5~8</w:t>
            </w:r>
          </w:p>
        </w:tc>
        <w:tc>
          <w:tcPr/>
          <w:p>
            <w:pPr>
              <w:pStyle w:val="Compact"/>
              <w:jc w:val="left"/>
            </w:pPr>
            <w:r>
              <w:t xml:space="preserve">0.1~0.15</w:t>
            </w:r>
          </w:p>
        </w:tc>
      </w:tr>
      <w:tr>
        <w:tc>
          <w:tcPr/>
          <w:p>
            <w:pPr>
              <w:pStyle w:val="Compact"/>
              <w:jc w:val="left"/>
            </w:pPr>
            <w:r>
              <w:t xml:space="preserve">Sewage Treatment Plant (STP)</w:t>
            </w:r>
          </w:p>
        </w:tc>
        <w:tc>
          <w:tcPr/>
          <w:p>
            <w:pPr>
              <w:pStyle w:val="Compact"/>
              <w:jc w:val="left"/>
            </w:pPr>
            <w:r>
              <w:t xml:space="preserve">5~7.5</w:t>
            </w:r>
          </w:p>
        </w:tc>
        <w:tc>
          <w:tcPr/>
          <w:p>
            <w:pPr>
              <w:pStyle w:val="Compact"/>
              <w:jc w:val="left"/>
            </w:pPr>
            <w:r>
              <w:t xml:space="preserve">0.1~0.14</w:t>
            </w:r>
          </w:p>
        </w:tc>
      </w:tr>
    </w:tbl>
    <w:p>
      <w:pPr>
        <w:pStyle w:val="BodyText"/>
      </w:pPr>
      <w:r>
        <w:t xml:space="preserve">Reference values shown in the table includes</w:t>
      </w:r>
    </w:p>
    <w:p>
      <w:pPr>
        <w:numPr>
          <w:ilvl w:val="0"/>
          <w:numId w:val="1008"/>
        </w:numPr>
        <w:pStyle w:val="Compact"/>
      </w:pPr>
      <w:r>
        <w:t xml:space="preserve">Power consumption</w:t>
      </w:r>
    </w:p>
    <w:p>
      <w:pPr>
        <w:numPr>
          <w:ilvl w:val="0"/>
          <w:numId w:val="1008"/>
        </w:numPr>
        <w:pStyle w:val="Compact"/>
      </w:pPr>
      <w:r>
        <w:t xml:space="preserve">Routine maintenance (labour and materials)</w:t>
      </w:r>
    </w:p>
    <w:p>
      <w:pPr>
        <w:numPr>
          <w:ilvl w:val="0"/>
          <w:numId w:val="1008"/>
        </w:numPr>
        <w:pStyle w:val="Compact"/>
      </w:pPr>
      <w:r>
        <w:t xml:space="preserve">Chemical consumption</w:t>
      </w:r>
    </w:p>
    <w:p>
      <w:pPr>
        <w:numPr>
          <w:ilvl w:val="0"/>
          <w:numId w:val="1008"/>
        </w:numPr>
        <w:pStyle w:val="Compact"/>
      </w:pPr>
      <w:r>
        <w:t xml:space="preserve">Inspection and auditing</w:t>
      </w:r>
    </w:p>
    <w:p>
      <w:pPr>
        <w:pStyle w:val="FirstParagraph"/>
      </w:pPr>
      <w:r>
        <w:t xml:space="preserve">The annual OPEX of a WTP is believed to be around 40% of the CAPEX. Whislt, for STP, OPEX is often higher and could reach to event 200% of the CAPEX. This is mainly attributed by the fact that operation and maintenance works for STP often incur not inside the STP but outside and on the network.</w:t>
      </w:r>
    </w:p>
    <w:p>
      <w:pPr>
        <w:pStyle w:val="BodyText"/>
      </w:pPr>
      <w:r>
        <w:t xml:space="preserve">In term of labor portion of the OPEX, per expert opinions, it is approximately about 30% of the total OPEX. It is advisable that the Client should consider this value in allocation of personnel and cost for future operation. To support this, we further elaborate the team chart of personnel supposed to be for the Hanjin Shipyard.</w:t>
      </w:r>
    </w:p>
    <w:p>
      <w:pPr>
        <w:pStyle w:val="CaptionedFigure"/>
      </w:pPr>
      <w:r>
        <w:drawing>
          <wp:inline>
            <wp:extent cx="1865498" cy="1480165"/>
            <wp:effectExtent b="0" l="0" r="0" t="0"/>
            <wp:docPr descr="Figure 19: Past team chart for Operation Management" title="" id="1" name="Picture"/>
            <a:graphic>
              <a:graphicData uri="http://schemas.openxmlformats.org/drawingml/2006/picture">
                <pic:pic>
                  <pic:nvPicPr>
                    <pic:cNvPr descr="../visuals/teamchartopex.png" id="0" name="Picture"/>
                    <pic:cNvPicPr>
                      <a:picLocks noChangeArrowheads="1" noChangeAspect="1"/>
                    </pic:cNvPicPr>
                  </pic:nvPicPr>
                  <pic:blipFill>
                    <a:blip r:embed="rId81"/>
                    <a:stretch>
                      <a:fillRect/>
                    </a:stretch>
                  </pic:blipFill>
                  <pic:spPr bwMode="auto">
                    <a:xfrm>
                      <a:off x="0" y="0"/>
                      <a:ext cx="1865498" cy="1480165"/>
                    </a:xfrm>
                    <a:prstGeom prst="rect">
                      <a:avLst/>
                    </a:prstGeom>
                    <a:noFill/>
                    <a:ln w="9525">
                      <a:noFill/>
                      <a:headEnd/>
                      <a:tailEnd/>
                    </a:ln>
                  </pic:spPr>
                </pic:pic>
              </a:graphicData>
            </a:graphic>
          </wp:inline>
        </w:drawing>
      </w:r>
    </w:p>
    <w:p>
      <w:pPr>
        <w:pStyle w:val="ImageCaption"/>
      </w:pPr>
      <w:r>
        <w:t xml:space="preserve">Figure 19: Past team chart for Operation Management</w:t>
      </w:r>
    </w:p>
    <w:p>
      <w:pPr>
        <w:pStyle w:val="BodyText"/>
      </w:pPr>
      <w:r>
        <w:t xml:space="preserve">The Figure shows three branches, which are for WTP, STP, and OFM (Other Facility Machine). In total, there were about 30 people assumed to work for O&amp;M activities for only the Nothern Yard area.</w:t>
      </w:r>
    </w:p>
    <w:p>
      <w:pPr>
        <w:pStyle w:val="BodyText"/>
      </w:pPr>
      <w:r>
        <w:t xml:space="preserve">Per discussion with the managers and staff of the shipyard, it is understand that the operation of the shipyard has been separated into at least 2 shifts (day and night). Under the two shifts working scheme, the O&amp;M team will be more or less allocated into 2 teams, with more people taking care for day shift and less people for the night shift since the production requirements during the night time was less than that of the day shift.</w:t>
      </w:r>
    </w:p>
    <w:p>
      <w:pPr>
        <w:pStyle w:val="BodyText"/>
      </w:pPr>
      <w:r>
        <w:t xml:space="preserve">It was also reported that the organizational chart was the idea team setting up by Korean managers at the onset of the project. However, during operation phases, there was a reduction in the number of staff for O&amp;M activities. An approximate good numbers of O&amp;M personnel has not been revealed.</w:t>
      </w:r>
    </w:p>
    <w:p>
      <w:pPr>
        <w:pStyle w:val="BodyText"/>
      </w:pPr>
      <w:r>
        <w:t xml:space="preserve">Regarding the O&amp;M cost allocated for M&amp;E and A&amp;I assets of the shipyards, as discussed earlier, there is no magic numbers but rather an approximate values based on experience of experts working on the field. The O&amp;M cost varies significantly from industry to industry and are different under different owership. If the owners cares more on O&amp;M, owners will build a good asset management system and allocate higher budget in so as to avoid possible future idle times and downtime of the assets due to random or systematic failures.</w:t>
      </w:r>
    </w:p>
    <w:p>
      <w:pPr>
        <w:pStyle w:val="BodyText"/>
      </w:pPr>
      <w:r>
        <w:t xml:space="preserve">Following bullet points illustrated the approximation of OPEX ballpark based on percentage of CAPEX.</w:t>
      </w:r>
    </w:p>
    <w:p>
      <w:pPr>
        <w:numPr>
          <w:ilvl w:val="0"/>
          <w:numId w:val="1009"/>
        </w:numPr>
        <w:pStyle w:val="Compact"/>
      </w:pPr>
      <w:r>
        <w:t xml:space="preserve">MEICA (Mechanical, Electrical, Instrumentation, Control and Automation) CAPEX</w:t>
      </w:r>
    </w:p>
    <w:p>
      <w:pPr>
        <w:pStyle w:val="FirstParagraph"/>
      </w:pPr>
      <w:r>
        <w:t xml:space="preserve">MEICA = 60% x CAPEX</w:t>
      </w:r>
    </w:p>
    <w:p>
      <w:pPr>
        <w:numPr>
          <w:ilvl w:val="0"/>
          <w:numId w:val="1010"/>
        </w:numPr>
        <w:pStyle w:val="Compact"/>
      </w:pPr>
      <w:r>
        <w:t xml:space="preserve">Civil and Structures</w:t>
      </w:r>
    </w:p>
    <w:p>
      <w:pPr>
        <w:pStyle w:val="FirstParagraph"/>
      </w:pPr>
      <w:r>
        <w:t xml:space="preserve">SC = 40% x CAPEX</w:t>
      </w:r>
    </w:p>
    <w:p>
      <w:pPr>
        <w:pStyle w:val="BodyText"/>
      </w:pPr>
      <w:r>
        <w:t xml:space="preserve">This costs includes both materials and labors. Annual OPEX for civil and structure components is also often estimated based on percentage of CAPEX items, which varies depending on design parameters and sizes of the components. Thus, this is important to collect as-built drawings of the facilities.</w:t>
      </w:r>
    </w:p>
    <w:p>
      <w:pPr>
        <w:numPr>
          <w:ilvl w:val="0"/>
          <w:numId w:val="1011"/>
        </w:numPr>
        <w:pStyle w:val="Compact"/>
      </w:pPr>
      <w:r>
        <w:t xml:space="preserve">MEICA’s equipment CAPEX</w:t>
      </w:r>
    </w:p>
    <w:p>
      <w:pPr>
        <w:pStyle w:val="FirstParagraph"/>
      </w:pPr>
      <w:r>
        <w:t xml:space="preserve">MEICA_e = 70% x MEICA</w:t>
      </w:r>
    </w:p>
    <w:p>
      <w:pPr>
        <w:numPr>
          <w:ilvl w:val="0"/>
          <w:numId w:val="1012"/>
        </w:numPr>
        <w:pStyle w:val="Compact"/>
      </w:pPr>
      <w:r>
        <w:t xml:space="preserve">Annual OPEX for Equipment</w:t>
      </w:r>
    </w:p>
    <w:p>
      <w:pPr>
        <w:pStyle w:val="FirstParagraph"/>
      </w:pPr>
      <w:r>
        <w:t xml:space="preserve">OPEX_e = P x MEICA_e</w:t>
      </w:r>
    </w:p>
    <w:p>
      <w:pPr>
        <w:pStyle w:val="BodyText"/>
      </w:pPr>
      <w:r>
        <w:t xml:space="preserve">Where P can range from 10% to 20%.</w:t>
      </w:r>
    </w:p>
    <w:p>
      <w:pPr>
        <w:pStyle w:val="BodyText"/>
      </w:pPr>
      <w:r>
        <w:t xml:space="preserve">This formula is expert’s opinions that learnt from average cost of</w:t>
      </w:r>
    </w:p>
    <w:p>
      <w:pPr>
        <w:numPr>
          <w:ilvl w:val="0"/>
          <w:numId w:val="1013"/>
        </w:numPr>
        <w:pStyle w:val="Compact"/>
      </w:pPr>
      <w:r>
        <w:t xml:space="preserve">WTPs of similar sizes and process</w:t>
      </w:r>
    </w:p>
    <w:p>
      <w:pPr>
        <w:numPr>
          <w:ilvl w:val="0"/>
          <w:numId w:val="1013"/>
        </w:numPr>
        <w:pStyle w:val="Compact"/>
      </w:pPr>
      <w:r>
        <w:t xml:space="preserve">Water Network includes piping, booster pumps, and appurtenances</w:t>
      </w:r>
    </w:p>
    <w:p>
      <w:pPr>
        <w:numPr>
          <w:ilvl w:val="0"/>
          <w:numId w:val="1013"/>
        </w:numPr>
        <w:pStyle w:val="Compact"/>
      </w:pPr>
      <w:r>
        <w:t xml:space="preserve">STP of similar sizes and process</w:t>
      </w:r>
    </w:p>
    <w:p>
      <w:pPr>
        <w:numPr>
          <w:ilvl w:val="0"/>
          <w:numId w:val="1013"/>
        </w:numPr>
        <w:pStyle w:val="Compact"/>
      </w:pPr>
      <w:r>
        <w:t xml:space="preserve">Sewage network includes manholes, lift stations, and vacuum trucks</w:t>
      </w:r>
    </w:p>
    <w:p>
      <w:pPr>
        <w:pStyle w:val="FirstParagraph"/>
      </w:pPr>
      <w:r>
        <w:t xml:space="preserve">It is important to also note OPEX can varies significantly by manufactuers and by years. For example, pumps manufactured in China or Korean might have lower life expectancy than pumps produced in Japan or Germany. More frequent breakdown of assets will increase the OPEX for corrective intervention and budget for procuring necessary spare parts. In addition, year by year, after hours of operations, the efficiency of equipments become lower resulting in higher O&amp;M cost. A fixed annual O&amp;M cost might not be an idea but approximately good enough to give decision makers a medium and long-term view on the possible costs associated with routine maintenance and major interventions.</w:t>
      </w:r>
    </w:p>
    <w:bookmarkEnd w:id="82"/>
    <w:bookmarkEnd w:id="83"/>
    <w:bookmarkStart w:id="86" w:name="appendices"/>
    <w:p>
      <w:pPr>
        <w:pStyle w:val="Heading1"/>
      </w:pPr>
      <w:r>
        <w:t xml:space="preserve">Appendices</w:t>
      </w:r>
    </w:p>
    <w:bookmarkStart w:id="84" w:name="appendix-1-schedule"/>
    <w:p>
      <w:pPr>
        <w:pStyle w:val="Heading2"/>
      </w:pPr>
      <w:r>
        <w:t xml:space="preserve">Appendix 1: Schedule</w:t>
      </w:r>
    </w:p>
    <w:p>
      <w:r>
        <w:br w:type="page"/>
      </w:r>
    </w:p>
    <w:bookmarkEnd w:id="84"/>
    <w:bookmarkStart w:id="85" w:name="appendix-2-capex-tidy-dataset"/>
    <w:p>
      <w:pPr>
        <w:pStyle w:val="Heading2"/>
      </w:pPr>
      <w:r>
        <w:t xml:space="preserve">Appendix 2: CAPEX Tidy Dataset</w:t>
      </w:r>
    </w:p>
    <w:bookmarkEnd w:id="85"/>
    <w:bookmarkEnd w:id="86"/>
    <w:sectPr w:rsidR="00C24A89">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2860014"/>
      <w:docPartObj>
        <w:docPartGallery w:val="Page Numbers (Bottom of Page)"/>
        <w:docPartUnique/>
      </w:docPartObj>
    </w:sdtPr>
    <w:sdtEndPr>
      <w:rPr>
        <w:color w:val="7F7F7F" w:themeColor="background1" w:themeShade="7F"/>
        <w:spacing w:val="60"/>
      </w:rPr>
    </w:sdtEndPr>
    <w:sdtContent>
      <w:p w14:paraId="450724EF" w14:textId="09285278" w:rsidR="007A4ACA" w:rsidRDefault="007A4ACA" w:rsidP="00741122">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888BAA" w14:textId="6701A440" w:rsidR="007A4ACA" w:rsidRDefault="007A4ACA" w:rsidP="0074112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F468C" w14:textId="229AA0C2" w:rsidR="007A4ACA" w:rsidRDefault="007A4ACA" w:rsidP="00741122">
    <w:pPr>
      <w:pStyle w:val="Header"/>
    </w:pPr>
    <w:r>
      <w:tab/>
    </w:r>
    <w:r>
      <w:tab/>
    </w:r>
    <w:r>
      <w:rPr>
        <w:noProof/>
      </w:rPr>
      <w:drawing>
        <wp:inline distT="0" distB="0" distL="0" distR="0" wp14:anchorId="2115FFE1" wp14:editId="5B025B9F">
          <wp:extent cx="2135593" cy="2745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1">
                    <a:extLst>
                      <a:ext uri="{28A0092B-C50C-407E-A947-70E740481C1C}">
                        <a14:useLocalDpi xmlns:a14="http://schemas.microsoft.com/office/drawing/2010/main" val="0"/>
                      </a:ext>
                    </a:extLst>
                  </a:blip>
                  <a:stretch>
                    <a:fillRect/>
                  </a:stretch>
                </pic:blipFill>
                <pic:spPr>
                  <a:xfrm>
                    <a:off x="0" y="0"/>
                    <a:ext cx="2135593" cy="274576"/>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E3C0DF2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FF64BAE"/>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C9680F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9B0219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144E16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EBF0EF9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165C3CD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56860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61882A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C4289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FAD10A3"/>
    <w:multiLevelType w:val="hybridMultilevel"/>
    <w:tmpl w:val="FD00A3B6"/>
    <w:lvl w:ilvl="0" w:tplc="C214FC1A">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1">
    <w:nsid w:val="2C1AE401"/>
    <w:multiLevelType w:val="multilevel"/>
    <w:tmpl w:val="983A8B1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50437348"/>
    <w:multiLevelType w:val="multilevel"/>
    <w:tmpl w:val="0D9EE4AA"/>
    <w:lvl w:ilvl="0">
      <w:start w:val="1"/>
      <w:numFmt w:val="decimal"/>
      <w:pStyle w:val="Heading1"/>
      <w:lvlText w:val="%1."/>
      <w:lvlJc w:val="left"/>
      <w:pPr>
        <w:ind w:hanging="360" w:left="720"/>
      </w:pPr>
      <w:rPr>
        <w:rFonts w:hint="default"/>
      </w:rPr>
    </w:lvl>
    <w:lvl w:ilvl="1">
      <w:start w:val="1"/>
      <w:numFmt w:val="decimal"/>
      <w:pStyle w:val="Heading2"/>
      <w:isLgl/>
      <w:lvlText w:val="%1.%2"/>
      <w:lvlJc w:val="left"/>
      <w:pPr>
        <w:ind w:hanging="420" w:left="780"/>
      </w:pPr>
      <w:rPr>
        <w:rFonts w:hint="default"/>
      </w:rPr>
    </w:lvl>
    <w:lvl w:ilvl="2">
      <w:start w:val="1"/>
      <w:numFmt w:val="decimal"/>
      <w:pStyle w:val="Heading3"/>
      <w:isLgl/>
      <w:lvlText w:val="%1.%2.%3"/>
      <w:lvlJc w:val="left"/>
      <w:pPr>
        <w:ind w:hanging="720" w:left="1080"/>
      </w:pPr>
      <w:rPr>
        <w:rFonts w:hint="default"/>
      </w:rPr>
    </w:lvl>
    <w:lvl w:ilvl="3">
      <w:start w:val="1"/>
      <w:numFmt w:val="decimal"/>
      <w:isLgl/>
      <w:lvlText w:val="%1.%2.%3.%4"/>
      <w:lvlJc w:val="left"/>
      <w:pPr>
        <w:ind w:hanging="1080" w:left="1440"/>
      </w:pPr>
      <w:rPr>
        <w:rFonts w:hint="default"/>
      </w:rPr>
    </w:lvl>
    <w:lvl w:ilvl="4">
      <w:start w:val="1"/>
      <w:numFmt w:val="decimal"/>
      <w:isLgl/>
      <w:lvlText w:val="%1.%2.%3.%4.%5"/>
      <w:lvlJc w:val="left"/>
      <w:pPr>
        <w:ind w:hanging="1080" w:left="1440"/>
      </w:pPr>
      <w:rPr>
        <w:rFonts w:hint="default"/>
      </w:rPr>
    </w:lvl>
    <w:lvl w:ilvl="5">
      <w:start w:val="1"/>
      <w:numFmt w:val="decimal"/>
      <w:isLgl/>
      <w:lvlText w:val="%1.%2.%3.%4.%5.%6"/>
      <w:lvlJc w:val="left"/>
      <w:pPr>
        <w:ind w:hanging="1440" w:left="1800"/>
      </w:pPr>
      <w:rPr>
        <w:rFonts w:hint="default"/>
      </w:rPr>
    </w:lvl>
    <w:lvl w:ilvl="6">
      <w:start w:val="1"/>
      <w:numFmt w:val="decimal"/>
      <w:isLgl/>
      <w:lvlText w:val="%1.%2.%3.%4.%5.%6.%7"/>
      <w:lvlJc w:val="left"/>
      <w:pPr>
        <w:ind w:hanging="1440" w:left="1800"/>
      </w:pPr>
      <w:rPr>
        <w:rFonts w:hint="default"/>
      </w:rPr>
    </w:lvl>
    <w:lvl w:ilvl="7">
      <w:start w:val="1"/>
      <w:numFmt w:val="decimal"/>
      <w:isLgl/>
      <w:lvlText w:val="%1.%2.%3.%4.%5.%6.%7.%8"/>
      <w:lvlJc w:val="left"/>
      <w:pPr>
        <w:ind w:hanging="1800" w:left="2160"/>
      </w:pPr>
      <w:rPr>
        <w:rFonts w:hint="default"/>
      </w:rPr>
    </w:lvl>
    <w:lvl w:ilvl="8">
      <w:start w:val="1"/>
      <w:numFmt w:val="decimal"/>
      <w:isLgl/>
      <w:lvlText w:val="%1.%2.%3.%4.%5.%6.%7.%8.%9"/>
      <w:lvlJc w:val="left"/>
      <w:pPr>
        <w:ind w:hanging="1800" w:left="2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qFormat="1" w:uiPriority="9"/>
    <w:lsdException w:name="heading 2" w:qFormat="1" w:uiPriority="9"/>
    <w:lsdException w:name="heading 3" w:qFormat="1" w:uiPriority="9"/>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41122"/>
    <w:rPr>
      <w:rFonts w:ascii="Arial" w:hAnsi="Arial"/>
      <w:sz w:val="20"/>
    </w:rPr>
  </w:style>
  <w:style w:styleId="Heading1" w:type="paragraph">
    <w:name w:val="heading 1"/>
    <w:basedOn w:val="Normal"/>
    <w:next w:val="BodyText"/>
    <w:link w:val="Heading1Char"/>
    <w:uiPriority w:val="9"/>
    <w:qFormat/>
    <w:rsid w:val="00297805"/>
    <w:pPr>
      <w:keepNext/>
      <w:keepLines/>
      <w:pageBreakBefore/>
      <w:numPr>
        <w:numId w:val="2"/>
      </w:numPr>
      <w:spacing w:after="120" w:line="240" w:lineRule="atLeast"/>
      <w:ind w:hanging="567" w:left="567"/>
      <w:outlineLvl w:val="0"/>
    </w:pPr>
    <w:rPr>
      <w:rFonts w:cs="Arial" w:eastAsiaTheme="majorEastAsia"/>
      <w:b/>
      <w:bCs/>
      <w:caps/>
      <w:color w:val="E4610F"/>
      <w:sz w:val="32"/>
      <w:szCs w:val="28"/>
    </w:rPr>
  </w:style>
  <w:style w:styleId="Heading2" w:type="paragraph">
    <w:name w:val="heading 2"/>
    <w:basedOn w:val="Normal"/>
    <w:next w:val="BodyText"/>
    <w:uiPriority w:val="9"/>
    <w:unhideWhenUsed/>
    <w:qFormat/>
    <w:rsid w:val="00297805"/>
    <w:pPr>
      <w:keepNext/>
      <w:keepLines/>
      <w:numPr>
        <w:ilvl w:val="1"/>
        <w:numId w:val="2"/>
      </w:numPr>
      <w:spacing w:after="0" w:before="200"/>
      <w:ind w:hanging="567" w:left="567"/>
      <w:outlineLvl w:val="1"/>
    </w:pPr>
    <w:rPr>
      <w:rFonts w:cs="Arial" w:eastAsiaTheme="majorEastAsia"/>
      <w:b/>
      <w:bCs/>
      <w:color w:val="E4610F"/>
      <w:sz w:val="28"/>
      <w:szCs w:val="28"/>
    </w:rPr>
  </w:style>
  <w:style w:styleId="Heading3" w:type="paragraph">
    <w:name w:val="heading 3"/>
    <w:basedOn w:val="Normal"/>
    <w:next w:val="BodyText"/>
    <w:uiPriority w:val="9"/>
    <w:unhideWhenUsed/>
    <w:qFormat/>
    <w:rsid w:val="0066514B"/>
    <w:pPr>
      <w:keepNext/>
      <w:keepLines/>
      <w:numPr>
        <w:ilvl w:val="2"/>
        <w:numId w:val="2"/>
      </w:numPr>
      <w:spacing w:after="0" w:before="200"/>
      <w:ind w:hanging="567" w:left="567"/>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B821D5"/>
    <w:pPr>
      <w:keepNext/>
      <w:keepLines/>
      <w:spacing w:after="240" w:before="480"/>
      <w:jc w:val="center"/>
    </w:pPr>
    <w:rPr>
      <w:rFonts w:cstheme="majorBidi" w:eastAsiaTheme="majorEastAsia"/>
      <w:b/>
      <w:bCs/>
      <w:color w:val="E4610F"/>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6353BC"/>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6353BC"/>
    <w:rPr>
      <w:rFonts w:ascii="Segoe UI" w:cs="Segoe UI" w:hAnsi="Segoe UI"/>
      <w:sz w:val="18"/>
      <w:szCs w:val="18"/>
    </w:rPr>
  </w:style>
  <w:style w:customStyle="1" w:styleId="Heading1Char" w:type="character">
    <w:name w:val="Heading 1 Char"/>
    <w:basedOn w:val="DefaultParagraphFont"/>
    <w:link w:val="Heading1"/>
    <w:uiPriority w:val="9"/>
    <w:rsid w:val="00297805"/>
    <w:rPr>
      <w:rFonts w:ascii="Arial" w:cs="Arial" w:eastAsiaTheme="majorEastAsia" w:hAnsi="Arial"/>
      <w:b/>
      <w:bCs/>
      <w:caps/>
      <w:color w:val="E4610F"/>
      <w:sz w:val="32"/>
      <w:szCs w:val="28"/>
    </w:rPr>
  </w:style>
  <w:style w:customStyle="1" w:styleId="BodyTextChar" w:type="character">
    <w:name w:val="Body Text Char"/>
    <w:basedOn w:val="DefaultParagraphFont"/>
    <w:link w:val="BodyText"/>
    <w:rsid w:val="00B821D5"/>
  </w:style>
  <w:style w:styleId="Header" w:type="paragraph">
    <w:name w:val="header"/>
    <w:basedOn w:val="Normal"/>
    <w:link w:val="HeaderChar"/>
    <w:unhideWhenUsed/>
    <w:rsid w:val="007A4ACA"/>
    <w:pPr>
      <w:tabs>
        <w:tab w:pos="4680" w:val="center"/>
        <w:tab w:pos="9360" w:val="right"/>
      </w:tabs>
      <w:spacing w:after="0"/>
    </w:pPr>
  </w:style>
  <w:style w:customStyle="1" w:styleId="HeaderChar" w:type="character">
    <w:name w:val="Header Char"/>
    <w:basedOn w:val="DefaultParagraphFont"/>
    <w:link w:val="Header"/>
    <w:rsid w:val="007A4ACA"/>
    <w:rPr>
      <w:rFonts w:ascii="Arial" w:hAnsi="Arial"/>
      <w:sz w:val="20"/>
    </w:rPr>
  </w:style>
  <w:style w:styleId="Footer" w:type="paragraph">
    <w:name w:val="footer"/>
    <w:basedOn w:val="Normal"/>
    <w:link w:val="FooterChar"/>
    <w:uiPriority w:val="99"/>
    <w:unhideWhenUsed/>
    <w:rsid w:val="007A4ACA"/>
    <w:pPr>
      <w:tabs>
        <w:tab w:pos="4680" w:val="center"/>
        <w:tab w:pos="9360" w:val="right"/>
      </w:tabs>
      <w:spacing w:after="0"/>
    </w:pPr>
  </w:style>
  <w:style w:customStyle="1" w:styleId="FooterChar" w:type="character">
    <w:name w:val="Footer Char"/>
    <w:basedOn w:val="DefaultParagraphFont"/>
    <w:link w:val="Footer"/>
    <w:uiPriority w:val="99"/>
    <w:rsid w:val="007A4ACA"/>
    <w:rPr>
      <w:rFonts w:ascii="Arial" w:hAnsi="Arial"/>
      <w:sz w:val="20"/>
    </w:rPr>
  </w:style>
  <w:style w:customStyle="1" w:styleId="arcadistableChar" w:type="character">
    <w:name w:val="arcadistable Char"/>
    <w:basedOn w:val="DefaultParagraphFont"/>
    <w:link w:val="arcadistable"/>
    <w:locked/>
    <w:rsid w:val="00251440"/>
    <w:rPr>
      <w:rFonts w:ascii="Arial" w:cs="Arial" w:hAnsi="Arial"/>
      <w:sz w:val="18"/>
      <w:szCs w:val="18"/>
    </w:rPr>
  </w:style>
  <w:style w:customStyle="1" w:styleId="arcadistable" w:type="paragraph">
    <w:name w:val="arcadistable"/>
    <w:basedOn w:val="Compact"/>
    <w:link w:val="arcadistableChar"/>
    <w:qFormat/>
    <w:rsid w:val="00251440"/>
    <w:rPr>
      <w:rFonts w:cs="Arial"/>
      <w:sz w:val="18"/>
      <w:szCs w:val="18"/>
    </w:rPr>
  </w:style>
  <w:style w:customStyle="1" w:styleId="arcadistabletitleChar" w:type="character">
    <w:name w:val="arcadistabletitle Char"/>
    <w:basedOn w:val="arcadistableChar"/>
    <w:link w:val="arcadistabletitle"/>
    <w:locked/>
    <w:rsid w:val="00317018"/>
    <w:rPr>
      <w:rFonts w:ascii="Arial" w:cs="Arial" w:hAnsi="Arial"/>
      <w:b/>
      <w:sz w:val="18"/>
      <w:szCs w:val="18"/>
    </w:rPr>
  </w:style>
  <w:style w:customStyle="1" w:styleId="arcadistabletitle" w:type="paragraph">
    <w:name w:val="arcadistabletitle"/>
    <w:basedOn w:val="arcadistable"/>
    <w:link w:val="arcadistabletitleChar"/>
    <w:qFormat/>
    <w:rsid w:val="00317018"/>
    <w:rPr>
      <w:b/>
    </w:rPr>
  </w:style>
  <w:style w:customStyle="1" w:styleId="arcadistabletotalChar" w:type="character">
    <w:name w:val="arcadistabletotal Char"/>
    <w:basedOn w:val="arcadistableChar"/>
    <w:link w:val="arcadistabletotal"/>
    <w:locked/>
    <w:rsid w:val="00AB068F"/>
    <w:rPr>
      <w:rFonts w:ascii="Arial" w:cs="Arial" w:hAnsi="Arial"/>
      <w:b/>
      <w:sz w:val="18"/>
      <w:szCs w:val="18"/>
    </w:rPr>
  </w:style>
  <w:style w:customStyle="1" w:styleId="arcadistabletotal" w:type="paragraph">
    <w:name w:val="arcadistabletotal"/>
    <w:basedOn w:val="arcadistabletitle"/>
    <w:link w:val="arcadistabletotalChar"/>
    <w:qFormat/>
    <w:rsid w:val="00AB0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34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81" Target="media/rId8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262</Words>
  <Characters>1494</Characters>
  <Application>Microsoft Office Word</Application>
  <DocSecurity>0</DocSecurity>
  <Lines>12</Lines>
  <Paragraphs>3</Paragraphs>
  <ScaleCrop>false</ScaleCrop>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Hanjin Shipyard Technical Due Diligence</dc:title>
  <dc:creator>Nam Le, Mark Ogot, Paul Magbanua, Liezel Convento</dc:creator>
  <cp:keywords/>
  <dcterms:created xsi:type="dcterms:W3CDTF">2021-12-14T16:18:01Z</dcterms:created>
  <dcterms:modified xsi:type="dcterms:W3CDTF">2021-12-14T16:18:01Z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4/08/2020</vt:lpwstr>
  </property>
  <property fmtid="{D5CDD505-2E9C-101B-9397-08002B2CF9AE}" pid="3" name="output">
    <vt:lpwstr/>
  </property>
  <property fmtid="{D5CDD505-2E9C-101B-9397-08002B2CF9AE}" pid="4" name="subtitle">
    <vt:lpwstr>BALLPARK ESTIMATE OF INTERVENTIONS and CAPEX Program</vt:lpwstr>
  </property>
</Properties>
</file>