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rigger-sync-deadlock-safe-switching"/>
    <w:p>
      <w:pPr>
        <w:pStyle w:val="Heading1"/>
      </w:pPr>
      <w:r>
        <w:t xml:space="preserve">Trigger Sync &amp; Deadlock-Safe Switching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Safely switch the RFD40 trigger between RFID inventory and barcode scanning modes, avoiding SDK errors and deadlocks.</w:t>
      </w:r>
    </w:p>
    <w:bookmarkEnd w:id="9"/>
    <w:bookmarkStart w:id="10" w:name="concurrency-model"/>
    <w:p>
      <w:pPr>
        <w:pStyle w:val="Heading2"/>
      </w:pPr>
      <w:r>
        <w:t xml:space="preserve">Concurrency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worker thread</w:t>
      </w:r>
      <w:r>
        <w:t xml:space="preserve">: Serializes all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 (</w:t>
      </w:r>
      <w:r>
        <w:rPr>
          <w:rStyle w:val="VerbatimChar"/>
          <w:b/>
          <w:bCs/>
        </w:rPr>
        <w:t xml:space="preserve">resourceLock</w:t>
      </w:r>
      <w:r>
        <w:rPr>
          <w:b/>
          <w:bCs/>
        </w:rPr>
        <w:t xml:space="preserve">)</w:t>
      </w:r>
      <w:r>
        <w:t xml:space="preserve">: Wraps all trigger config methods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Busy flag (</w:t>
      </w:r>
      <w:r>
        <w:rPr>
          <w:rStyle w:val="VerbatimChar"/>
          <w:b/>
          <w:bCs/>
        </w:rPr>
        <w:t xml:space="preserve">bRfidBusy</w:t>
      </w:r>
      <w:r>
        <w:rPr>
          <w:b/>
          <w:bCs/>
        </w:rPr>
        <w:t xml:space="preserve">)</w:t>
      </w:r>
      <w:r>
        <w:t xml:space="preserve">: Tracks RFID operation state</w:t>
      </w:r>
    </w:p>
    <w:bookmarkEnd w:id="10"/>
    <w:bookmarkStart w:id="11" w:name="busy-guard-logic"/>
    <w:p>
      <w:pPr>
        <w:pStyle w:val="Heading2"/>
      </w:pPr>
      <w:r>
        <w:t xml:space="preserve">Busy Guard Logic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bRfidBusy = true</w:t>
      </w:r>
      <w:r>
        <w:t xml:space="preserve"> </w:t>
      </w:r>
      <w:r>
        <w:t xml:space="preserve">on inventory start,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stop</w:t>
      </w:r>
    </w:p>
    <w:p>
      <w:pPr>
        <w:pStyle w:val="Compact"/>
        <w:numPr>
          <w:ilvl w:val="0"/>
          <w:numId w:val="1002"/>
        </w:numPr>
      </w:pPr>
      <w:r>
        <w:t xml:space="preserve">All config changes check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before proceeding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waitForReaderIdle()</w:t>
      </w:r>
      <w:r>
        <w:t xml:space="preserve"> </w:t>
      </w:r>
      <w:r>
        <w:t xml:space="preserve">polls with timeout to ensure idle</w:t>
      </w:r>
    </w:p>
    <w:bookmarkEnd w:id="11"/>
    <w:bookmarkStart w:id="12" w:name="safe-switch-sequence"/>
    <w:p>
      <w:pPr>
        <w:pStyle w:val="Heading2"/>
      </w:pPr>
      <w:r>
        <w:t xml:space="preserve">Safe Switch Sequence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RFID → Barcode</w:t>
      </w:r>
      <w:r>
        <w:t xml:space="preserve">: Unsubscribe events, then switch hardware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Barcode → RFID</w:t>
      </w:r>
      <w:r>
        <w:t xml:space="preserve">: Switch hardware, then subscribe events</w:t>
      </w:r>
    </w:p>
    <w:bookmarkEnd w:id="12"/>
    <w:bookmarkStart w:id="13" w:name="failure-handling"/>
    <w:p>
      <w:pPr>
        <w:pStyle w:val="Heading2"/>
      </w:pPr>
      <w:r>
        <w:t xml:space="preserve">Failure Handling</w:t>
      </w:r>
    </w:p>
    <w:p>
      <w:pPr>
        <w:pStyle w:val="Compact"/>
        <w:numPr>
          <w:ilvl w:val="0"/>
          <w:numId w:val="1004"/>
        </w:numPr>
      </w:pPr>
      <w:r>
        <w:t xml:space="preserve">On timeout or SDK error,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release lock</w:t>
      </w:r>
    </w:p>
    <w:p>
      <w:pPr>
        <w:pStyle w:val="Compact"/>
        <w:numPr>
          <w:ilvl w:val="0"/>
          <w:numId w:val="1004"/>
        </w:numPr>
      </w:pPr>
      <w:r>
        <w:t xml:space="preserve">Never block indefinitely or leave lock held</w:t>
      </w:r>
    </w:p>
    <w:bookmarkEnd w:id="13"/>
    <w:bookmarkStart w:id="14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05"/>
        </w:numPr>
      </w:pPr>
      <w:r>
        <w:t xml:space="preserve">Press trigger repeatedly during mode switch: app must not freeze</w:t>
      </w:r>
    </w:p>
    <w:p>
      <w:pPr>
        <w:pStyle w:val="Compact"/>
        <w:numPr>
          <w:ilvl w:val="0"/>
          <w:numId w:val="1005"/>
        </w:numPr>
      </w:pPr>
      <w:r>
        <w:t xml:space="preserve">Confirm trigger events are ignored in barcode mode, resume in RFID mode</w:t>
      </w:r>
    </w:p>
    <w:bookmarkEnd w:id="14"/>
    <w:bookmarkStart w:id="15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for architecture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for usage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RELEASE_NOTES.md</w:t>
      </w:r>
      <w:r>
        <w:t xml:space="preserve"> </w:t>
      </w:r>
      <w:r>
        <w:t xml:space="preserve">for release info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