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rigger-event-handling-design"/>
    <w:p>
      <w:pPr>
        <w:pStyle w:val="Heading1"/>
      </w:pPr>
      <w:r>
        <w:t xml:space="preserve">Trigger Event Handling Design</w:t>
      </w:r>
    </w:p>
    <w:p>
      <w:pPr>
        <w:pStyle w:val="FirstParagraph"/>
      </w:pPr>
      <w:r>
        <w:rPr>
          <w:b/>
          <w:bCs/>
        </w:rPr>
        <w:t xml:space="preserve">Release: v1.0.0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RFIDHandler manages the Zebra RFID reader’s hardware trigger for two modes: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RFID Mode</w:t>
      </w:r>
      <w:r>
        <w:t xml:space="preserve">: Trigger starts/stops RFID inventory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Barcode Mode</w:t>
      </w:r>
      <w:r>
        <w:t xml:space="preserve">: Trigger activates barcode scanner</w:t>
      </w:r>
    </w:p>
    <w:bookmarkEnd w:id="9"/>
    <w:bookmarkStart w:id="10" w:name="synchronization-safety"/>
    <w:p>
      <w:pPr>
        <w:pStyle w:val="Heading2"/>
      </w:pPr>
      <w:r>
        <w:t xml:space="preserve">Synchronization &amp; Safety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resourceLock</w:t>
      </w:r>
      <w:r>
        <w:t xml:space="preserve">: Ensures only one config at a 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bRfidBusy</w:t>
      </w:r>
      <w:r>
        <w:t xml:space="preserve">: Prevents config changes while inventory is active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waitForReaderIdle()</w:t>
      </w:r>
      <w:r>
        <w:t xml:space="preserve">: Bounded wait for safe switching</w:t>
      </w:r>
    </w:p>
    <w:bookmarkEnd w:id="10"/>
    <w:bookmarkStart w:id="11" w:name="core-methods"/>
    <w:p>
      <w:pPr>
        <w:pStyle w:val="Heading2"/>
      </w:pPr>
      <w:r>
        <w:t xml:space="preserve">Core Methods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setTriggerEnabled(boolean)</w:t>
      </w:r>
      <w:r>
        <w:t xml:space="preserve">: Switches trigger mode, guarded by lock and busy flag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subscribeRfidHardwareTriggerEvents(boolean)</w:t>
      </w:r>
      <w:r>
        <w:t xml:space="preserve">: Enables/disables trigger event callbacks</w:t>
      </w:r>
    </w:p>
    <w:bookmarkEnd w:id="11"/>
    <w:bookmarkStart w:id="12" w:name="safe-switch-workflow"/>
    <w:p>
      <w:pPr>
        <w:pStyle w:val="Heading2"/>
      </w:pPr>
      <w:r>
        <w:t xml:space="preserve">Safe Switch Workflow</w:t>
      </w:r>
    </w:p>
    <w:p>
      <w:pPr>
        <w:pStyle w:val="Compact"/>
        <w:numPr>
          <w:ilvl w:val="0"/>
          <w:numId w:val="1003"/>
        </w:numPr>
      </w:pPr>
      <w:r>
        <w:t xml:space="preserve">Unsubscribe events before switching to barcode</w:t>
      </w:r>
    </w:p>
    <w:p>
      <w:pPr>
        <w:pStyle w:val="Compact"/>
        <w:numPr>
          <w:ilvl w:val="0"/>
          <w:numId w:val="1003"/>
        </w:numPr>
      </w:pPr>
      <w:r>
        <w:t xml:space="preserve">Switch hardware before subscribing events for RFID</w:t>
      </w:r>
    </w:p>
    <w:bookmarkEnd w:id="12"/>
    <w:bookmarkStart w:id="13" w:name="see-also"/>
    <w:p>
      <w:pPr>
        <w:pStyle w:val="Heading2"/>
      </w:pPr>
      <w:r>
        <w:t xml:space="preserve">See Also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Trigger_Sync_Doc.md</w:t>
      </w:r>
      <w:r>
        <w:t xml:space="preserve"> </w:t>
      </w:r>
      <w:r>
        <w:t xml:space="preserve">for concurrency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design.md</w:t>
      </w:r>
      <w:r>
        <w:t xml:space="preserve"> </w:t>
      </w:r>
      <w:r>
        <w:t xml:space="preserve">for architecture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2026-02-19T04:37:56Z</dcterms:created>
  <dcterms:modified xsi:type="dcterms:W3CDTF">2026-02-19T04:37:56Z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